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6994525" cy="8691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869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Cheng Yin Pan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Prenetics Global Ltd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PRE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UNIT 703-706, K11 ATELIER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728 KINGS ROAD, QUARRY BAY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HONG KONG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Person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Share, par value $0.0015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15,873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59,051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2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40" w:type="dxa"/>
            <w:vAlign w:val="bottom"/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M13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15,873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05/18/2032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15,873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6,406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Stock Unit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par value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$0.0015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21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Cheng Yin Pan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UNIT 703-706, K11 ATELIER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728 KINGS ROAD, QUARRY BAY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HONG KONG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21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5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M13 Capital Management Holdings Ltd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-4612640</wp:posOffset>
            </wp:positionV>
            <wp:extent cx="29210" cy="2272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72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PORTCULLIS CHAMBERS, ELLEN SKELTON BLDG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3076 SIR FRANCIS DRAKE HIGHWAY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ROAD TOWN,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D8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5"/>
        </w:trPr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TORTOLA,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7"/>
        </w:trPr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VG1110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8"/>
        </w:trPr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-35560</wp:posOffset>
            </wp:positionH>
            <wp:positionV relativeFrom="paragraph">
              <wp:posOffset>-684530</wp:posOffset>
            </wp:positionV>
            <wp:extent cx="2809875" cy="7620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15,873 Class A Ordinary Shares of the Issuer issued and delivered upon settlement of vested Restricted Stock Units ("RSUs") granted under the Issuer's 2022 Share Incentive Plan.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M13 Capital Management Holdings Limited is a British Virgin Islands company wholly owned by Cheng Yin Pan.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1"/>
        <w:spacing w:after="0" w:line="253" w:lineRule="auto"/>
        <w:tabs>
          <w:tab w:leader="none" w:pos="12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RSU, granted under the Issuer's 2022 Share Incentive Plan, represents a contingent right to receive one Class A Ordinary Share. 15,873 RSUs vested on May 17, 2026 and were settled and delivered in shares on June 15, 2026.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Stephen Hoi Chun Lo,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-9525</wp:posOffset>
            </wp:positionV>
            <wp:extent cx="1193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Cheng Yin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-17145</wp:posOffset>
            </wp:positionV>
            <wp:extent cx="1882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-17145</wp:posOffset>
            </wp:positionV>
            <wp:extent cx="1587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3280" w:firstLine="1"/>
        <w:spacing w:after="0" w:line="334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80"/>
      </w:cols>
      <w:pgMar w:left="500" w:top="127" w:right="7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44918" TargetMode="External"/><Relationship Id="rId14" Type="http://schemas.openxmlformats.org/officeDocument/2006/relationships/hyperlink" Target="http://www.sec.gov/cgi-bin/browse-edgar?action=getcompany&amp;CIK=0001876431" TargetMode="External"/><Relationship Id="rId15" Type="http://schemas.openxmlformats.org/officeDocument/2006/relationships/hyperlink" Target="http://www.sec.gov/cgi-bin/browse-edgar?action=getcompany&amp;CIK=00021179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2026-06-16T08:11:36Z</dcterms:created>
  <dcterms:modified xsi:type="dcterms:W3CDTF">2026-06-16T08:11:36Z</dcterms:modified>
</cp:coreProperties>
</file>