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4866958.xml.htm"/>
      <w:bookmarkStart w:id="1" w:name="kswkform3_177486695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Shah Darshan Ravindra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03/26/2026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4,506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0"/>
        <w:gridCol w:w="1223"/>
        <w:gridCol w:w="1130"/>
        <w:gridCol w:w="1322"/>
        <w:gridCol w:w="938"/>
        <w:gridCol w:w="1267"/>
        <w:gridCol w:w="1230"/>
        <w:gridCol w:w="1385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7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02/16/2032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("RSU"), granted under the Issuer's 2022 Share Incentive Plan, represents a contingent right to receive one Class A Ordinary Share. The 5,599 RSUs vest on February 15, 2027, subject to continued service. Upon vesting, the RSUs are settled and delivered in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Lo, as attorney-in-fact for Darshan Ravindra Shah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dspoa.htm"/>
      <w:bookmarkStart w:id="3" w:name="kssection16dspoa"/>
      <w:bookmarkEnd w:id="2"/>
      <w:bookmarkEnd w:id="3"/>
      <w:r>
        <w:rPr/>
        <w:drawing>
          <wp:inline distT="0" distB="0" distL="0" distR="0">
            <wp:extent cx="1014412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1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14412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1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738" TargetMode="External"/><Relationship Id="rId3" Type="http://schemas.openxmlformats.org/officeDocument/2006/relationships/hyperlink" Target="http://www.sec.gov/cgi-bin/browse-edgar?action=getcompany&amp;CIK=000187643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473</Words>
  <Characters>2573</Characters>
  <CharactersWithSpaces>3002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section16dspoa</dc:title>
</cp:coreProperties>
</file>