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b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w:t>
        <w:br/>
        <w:t>13a-16 OR 15d-16 UNDER</w:t>
        <w:br/>
        <w:t>THE SECURITIES EXCHANGE ACT OF 1934</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month of August 2026</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001-41401 </w:t>
      </w:r>
    </w:p>
    <w:p>
      <w:pPr>
        <w:pStyle w:val="TextBody"/>
        <w:bidi w:val="0"/>
        <w:spacing w:lineRule="auto" w:line="240" w:before="0" w:after="0"/>
        <w:jc w:val="left"/>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Prenetics Global Limited</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2742" w:type="dxa"/>
        <w:jc w:val="center"/>
        <w:tblInd w:w="0" w:type="dxa"/>
        <w:tblLayout w:type="fixed"/>
        <w:tblCellMar>
          <w:top w:w="28" w:type="dxa"/>
          <w:left w:w="28" w:type="dxa"/>
          <w:bottom w:w="28" w:type="dxa"/>
          <w:right w:w="28" w:type="dxa"/>
        </w:tblCellMar>
      </w:tblPr>
      <w:tblGrid>
        <w:gridCol w:w="475"/>
        <w:gridCol w:w="416"/>
        <w:gridCol w:w="416"/>
        <w:gridCol w:w="416"/>
        <w:gridCol w:w="416"/>
        <w:gridCol w:w="60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74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 703-706, K11 Atelier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728 King’s Road, Quarry Bay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Hong Kong</w:t>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20-F ☒ Form 40-F ☐</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top w:w="3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r>
    </w:tbl>
    <w:p>
      <w:pPr>
        <w:pStyle w:val="TextBody"/>
        <w:bidi w:val="0"/>
        <w:spacing w:lineRule="auto" w:line="240" w:before="0" w:after="0"/>
        <w:jc w:val="center"/>
        <w:rPr>
          <w:color w:val="000000"/>
        </w:rPr>
      </w:pPr>
      <w:r>
        <w:rPr>
          <w:color w:val="000000"/>
        </w:rPr>
        <w:t> </w:t>
      </w:r>
    </w:p>
    <w:p>
      <w:pPr>
        <w:pStyle w:val="TextBody"/>
        <w:bidi w:val="0"/>
        <w:spacing w:before="240" w:after="283"/>
        <w:ind w:left="0" w:right="0" w:firstLine="49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26, 2026, Prenetics Global Limited (the “Company”) issued a press release announcing the open market purchases of its shares by members of its leadership team. A copy of the press release is furnished as Exhibit 99.1 to this Report on Form 6-K (this "Report").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Report, including Exhibit 99.1 furnished herewith,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a filing or in this report.</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INCORPORATION BY REFERENCE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Report, along with Exhibit 99.1, is incorporated by reference into the registration statement on Form F-1 (File No. 333-294765), registration statements on Form F-3 (File Nos. 333-265284, 333-276538 and 333-288824), and registration statements on Form S-8 (File Nos. 333-287017, 333-279019, 333-271552 and 333-267956) of Prenetics Global Limited (including any prospectuses forming a part of such registration statements), including all amendments thereto, filed with the U.S. Securities and Exchange Commission (the "SEC"), to be a part thereof from the date on which this report is submitted, to the extent not superseded by documents or reports subsequently filed or furnished.</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center"/>
        <w:rPr/>
      </w:pPr>
      <w:r>
        <w:rPr/>
      </w:r>
    </w:p>
    <w:tbl>
      <w:tblPr>
        <w:tblW w:w="4602" w:type="dxa"/>
        <w:jc w:val="left"/>
        <w:tblInd w:w="0" w:type="dxa"/>
        <w:tblLayout w:type="fixed"/>
        <w:tblCellMar>
          <w:top w:w="28" w:type="dxa"/>
          <w:left w:w="28" w:type="dxa"/>
          <w:bottom w:w="28" w:type="dxa"/>
          <w:right w:w="28" w:type="dxa"/>
        </w:tblCellMar>
      </w:tblPr>
      <w:tblGrid>
        <w:gridCol w:w="401"/>
        <w:gridCol w:w="353"/>
        <w:gridCol w:w="356"/>
        <w:gridCol w:w="109"/>
        <w:gridCol w:w="109"/>
        <w:gridCol w:w="109"/>
        <w:gridCol w:w="927"/>
        <w:gridCol w:w="927"/>
        <w:gridCol w:w="1311"/>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 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1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prenetics_insiderxpurchase.htm">
              <w:r>
                <w:rPr>
                  <w:rStyle w:val="InternetLink"/>
                  <w:rFonts w:ascii="Times New Roman;serif" w:hAnsi="Times New Roman;serif"/>
                  <w:b w:val="false"/>
                  <w:color w:val="0000FF"/>
                  <w:sz w:val="20"/>
                  <w:u w:val="single"/>
                </w:rPr>
                <w:t>Press Release, dated August 26, 2026</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tbl>
      <w:tblPr>
        <w:tblW w:w="5415" w:type="dxa"/>
        <w:jc w:val="left"/>
        <w:tblInd w:w="0" w:type="dxa"/>
        <w:tblLayout w:type="fixed"/>
        <w:tblCellMar>
          <w:top w:w="28" w:type="dxa"/>
          <w:left w:w="28" w:type="dxa"/>
          <w:bottom w:w="28" w:type="dxa"/>
          <w:right w:w="28" w:type="dxa"/>
        </w:tblCellMar>
      </w:tblPr>
      <w:tblGrid>
        <w:gridCol w:w="705"/>
        <w:gridCol w:w="621"/>
        <w:gridCol w:w="624"/>
        <w:gridCol w:w="355"/>
        <w:gridCol w:w="355"/>
        <w:gridCol w:w="355"/>
        <w:gridCol w:w="702"/>
        <w:gridCol w:w="702"/>
        <w:gridCol w:w="99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Prenetics Global Limited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Danny Sheng Wu Yeung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Danny Sheng Wu Yeung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tc>
        <w:tc>
          <w:tcPr>
            <w:tcW w:w="3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8"/>
        </w:rPr>
      </w:pPr>
      <w:r>
        <w:rPr>
          <w:rFonts w:ascii="Times New Roman;serif" w:hAnsi="Times New Roman;serif"/>
          <w:b/>
          <w:color w:val="000000"/>
          <w:sz w:val="28"/>
        </w:rPr>
        <w:t>Prenetics’ IM8 CEO and CFO Purchase $1.0 Million of Shares in the Open Market Following Second Quarter Results</w:t>
      </w:r>
    </w:p>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i/>
          <w:color w:val="000000"/>
          <w:sz w:val="20"/>
        </w:rPr>
      </w:pPr>
      <w:r>
        <w:rPr>
          <w:rFonts w:ascii="Times New Roman;serif" w:hAnsi="Times New Roman;serif"/>
          <w:b w:val="false"/>
          <w:i/>
          <w:color w:val="000000"/>
          <w:sz w:val="20"/>
        </w:rPr>
        <w:t>Cumulative Personal Investment by Leadership Since November 2025 Reaches Approximately $3.75 Million</w:t>
      </w:r>
    </w:p>
    <w:p>
      <w:pPr>
        <w:pStyle w:val="TextBody"/>
        <w:bidi w:val="0"/>
        <w:spacing w:before="0" w:after="0"/>
        <w:jc w:val="center"/>
        <w:rPr/>
      </w:pPr>
      <w:r>
        <w:rPr/>
      </w:r>
    </w:p>
    <w:p>
      <w:pPr>
        <w:pStyle w:val="TextBody"/>
        <w:bidi w:val="0"/>
        <w:spacing w:lineRule="auto" w:line="319" w:before="0" w:after="0"/>
        <w:jc w:val="left"/>
        <w:rPr/>
      </w:pPr>
      <w:r>
        <w:rPr>
          <w:rFonts w:ascii="Times New Roman;serif" w:hAnsi="Times New Roman;serif"/>
          <w:b/>
          <w:color w:val="000000"/>
          <w:sz w:val="20"/>
        </w:rPr>
        <w:t>NEW YORK, N.Y. – Aug. 26, 2026 (GLOBE NEWSWIRE)</w:t>
      </w:r>
      <w:r>
        <w:rPr>
          <w:color w:val="000000"/>
        </w:rPr>
        <w:t xml:space="preserve"> – </w:t>
      </w:r>
      <w:r>
        <w:rPr>
          <w:rFonts w:ascii="Times New Roman;serif" w:hAnsi="Times New Roman;serif"/>
          <w:b w:val="false"/>
          <w:color w:val="000000"/>
          <w:sz w:val="20"/>
        </w:rPr>
        <w:t>Prenetics Global Limited (NASDAQ: PRE) (“Prenetics” or the “Company”), a leading consumer health company and parent of the AI-native direct-to-consumer wellness brand IM8, co-founded by David Beckham, today announced that Danny Yeung, Chief Executive Officer, and Brian Rosin, Chief Financial Officer, completed open market purchases of the Company’s ordinary shares during the period between August 20 and August 25, 2026, within the Company’s open trading window following the release of second quarter 2026 financial results.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The two executives acquired $1.0 million of shares. Combined with approximately $1.45 million of purchases in November 2025 and approximately $1.30 million in February 2026, Prenetics leadership has now personally invested approximately $3.75 million in Company shares since November 2025, and has not sold any shares over that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Individual Transaction Details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Danny Yeung, Chief Executive Officer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Purchased 24,681 shares for approximately $502,000, at an average price of roughly $20.34 per share, across purchases on August 20 and August 24, 2026. This brings his cumulative personal investment to approximately $1.75 million since November 2025, following approximately $502,000 in November 2025 and approximately $750,000 in February 2026.</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Brian Rosin, Chief Financial Officer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Purchased 23,100 shares for approximately $498,000, at an average price of roughly $21.54 per share, across purchases on August 24 and August 25, 2026 — his first open market purchase since joining the Company in May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Purchases Follow Second Quarter Results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18, 2026, Prenetics reported total second quarter revenue of $46.5 million, up approximately 288% year over year, with IM8 revenue of $45.0 million, up approximately 359% year over year — the brand’s sixth consecutive record quarter. IM8 delivered $20.9 million of revenue in July, with an annualized revenue run-rate of approximately $251 million, and the Company recorded its first month of positive consolidated Adjusted Free Cash Flow. Prenetics raised full year 2026 revenue guidance to $220 million to 230 million and introduced full year 2027 revenue guidance of more than $400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 Commentary</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0"/>
        </w:rPr>
        <w:t>Danny Yeung, Chief Executive Officer of Prenetics, stated: “</w:t>
      </w:r>
      <w:r>
        <w:rPr>
          <w:rFonts w:ascii="Times New Roman;serif" w:hAnsi="Times New Roman;serif"/>
          <w:b w:val="false"/>
          <w:i/>
          <w:color w:val="000000"/>
          <w:sz w:val="20"/>
        </w:rPr>
        <w:t>This is my third open market purchase since November, and the reason has not changed — the business has only gotten stronger. The clearest validation came in July, when General Catalyst's Customer Value Fund committed $1 billion of growth financing to IM8. We turned consolidated Adjusted Free Cash Flow positive in July, raised our FY 2026 revenue guidance, and introduced FY 2027 revenue guidance of more than $400 million, with a strong product pipeline behind it. I would encourage everyone to read our highly detailed shareholder letter and investor presentation we published last week. We are still so early in this journey, and I am backing that view with my own money.”</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0"/>
        </w:rPr>
        <w:t>Brian Rosin, Chief Financial Officer, added: “</w:t>
      </w:r>
      <w:r>
        <w:rPr>
          <w:rFonts w:ascii="Times New Roman;serif" w:hAnsi="Times New Roman;serif"/>
          <w:b w:val="false"/>
          <w:i/>
          <w:color w:val="000000"/>
          <w:sz w:val="20"/>
        </w:rPr>
        <w:t>I have spent my career in consumer health and have seen plenty of good brands, but what drew me to IM8 was a set of special characteristics I had not seen combined anywhere else. Three months inside Prenetics, the detail has only confirmed those traits run deeper than I thought. Capital allocation is the core of my job, and I’m applying that same discipline to my own capital and buying in my first available window.</w:t>
      </w:r>
      <w:r>
        <w:rPr>
          <w:color w:val="000000"/>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Prenetics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Prenetics Global Limited (NASDAQ: PRE) is a leading consumer health company on a mission to advance human health and longevity. Its flagship brand, IM8, co-founded with David Beckham, is redefining premium daily nutrition through science-backed formulations — anchored by Daily Ultimate Essentials, a 90-ingredient daily nutrition system that is NSF Certified for Sport and clinically studied. IM8 is the fastest-growing premium supplement brand ever recorded, reaching approximately $251 million in annualized run-rate revenue within 20 months of launch, shipping to 46 countries, and delivering well over 200,000 servings daily. IM8’s ambassador and equity-partner roster includes David Beckham, Giannis Antetokounmpo, Aryna Sabalenka, Ollie Bearman, Jay Shetty, and Inter Miami CF. Learn more at prenetics.com and im8health.com.</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About IM8</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IM8 is the pinnacle of premium core nutrition, born from a collaboration between David Beckham as a co-founding partner, and an elite team of scientists spanning medical professionals, academia and space science. Combining cutting-edge science with nature’s most potent ingredients, IM8 delivers a holistic, science-backed approach to health, empowering you to live your most vibrant life. IM8’s flagship product, Daily Ultimate Essentials, is an all-in-one powder supplement engineered to replace 16 different supplements in a delicious drink and is NSF Certified for Sport, non-GMO, vegan, free from common allergens, and contains no artificial flavors, colors or sweeteners. IM8 is a subsidiary of Prenetics (NASDAQ: PRE), a leading global health sciences company dedicated to advancing consumer health. To learn more about IM8, please visit www.IM8health.com. Follow IM8 on Instagram at @im8health for updates.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investors@prenetics.com</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PRE@mzgroup.us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Angela Cheung</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Investor Relations / Corporate Finance</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angela.hm.cheung@prenetics.com</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press release,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the impact of the Customer Investment Agreement with GC Customer Value Arranger, LLC is unpredictable, and the arrangement may not function as expected, and its failure to do so could materially and adversely impact our financial condition and results of operations, we may require additional capital to grow our business, which may not be available on terms acceptable to us or at all,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the Company’s ability to efficiently and effectively deploy financial and management resources towards maintaining and growing the business. In addition to the foregoing factors, you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press release is as of the date of this press release, and the Company does not undertake any duty to update such information, except as required under applicable law. Nothing in this press release constitutes an offer to sell, or the solicitation of an offer to buy, any securities of the Company.</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Unaudited Non-IFRS Financial Measures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providing the following non-IFRS measure: Adjusted Free Cash Flow. This non-IFRS financial measure is not based on any standardized methodology prescribed by IFRS and is not necessarily comparable to similarly-titled measures presented by other companies. Management believes this non-IFRS financial measure is useful to investors in evaluating the Company’s ongoing operating results and trends and in facilitating period-to-period comparisons of the Company’s performance. Adjusted Free Cash Flow, a non-IFRS measure, is defined as net cash from operating activities plus net fundings under the General Catalyst Customer Value Fund facility. Other companies, including companies in the same industry, may not use the same non-IFRS measure or may calculate this metric in a different manner than management, or may use other financial measures to evaluate their performance, all of which could reduce the usefulness of this non-IFRS measure as a comparative measure. Because of these limitations, the Company’s non-IFRS financial measure should not be considered in isolation from, or as a substitute for, financial information prepared in accordance with IFRS Accounting Standards.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1826</Words>
  <Characters>10467</Characters>
  <CharactersWithSpaces>12264</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