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September 8, 2025</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333-288824</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PRE-EFFECTIVE</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F-3</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Prenetics Global Limited</w:t>
      </w:r>
    </w:p>
    <w:p>
      <w:pPr>
        <w:spacing w:after="0" w:line="9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84"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33"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3240" w:type="dxa"/>
            <w:vAlign w:val="bottom"/>
          </w:tcPr>
          <w:p>
            <w:pPr>
              <w:jc w:val="center"/>
              <w:ind w:right="1199"/>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3360" w:type="dxa"/>
            <w:vAlign w:val="bottom"/>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316"/>
        </w:trPr>
        <w:tc>
          <w:tcPr>
            <w:tcW w:w="324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360" w:type="dxa"/>
            <w:vAlign w:val="bottom"/>
          </w:tcPr>
          <w:p>
            <w:pPr>
              <w:jc w:val="center"/>
              <w:ind w:left="121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240" w:type="dxa"/>
            <w:vAlign w:val="bottom"/>
          </w:tcPr>
          <w:p>
            <w:pPr>
              <w:jc w:val="center"/>
              <w:ind w:right="12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360" w:type="dxa"/>
            <w:vAlign w:val="bottom"/>
          </w:tcPr>
          <w:p>
            <w:pPr>
              <w:jc w:val="center"/>
              <w:ind w:left="1219"/>
              <w:spacing w:after="0"/>
              <w:rPr>
                <w:sz w:val="20"/>
                <w:szCs w:val="20"/>
                <w:color w:val="auto"/>
              </w:rPr>
            </w:pPr>
            <w:r>
              <w:rPr>
                <w:rFonts w:ascii="Times New Roman" w:cs="Times New Roman" w:eastAsia="Times New Roman" w:hAnsi="Times New Roman"/>
                <w:sz w:val="16"/>
                <w:szCs w:val="16"/>
                <w:color w:val="auto"/>
              </w:rPr>
              <w:t>Identification Number)</w:t>
            </w:r>
          </w:p>
        </w:tc>
      </w:tr>
      <w:tr>
        <w:trPr>
          <w:trHeight w:val="526"/>
        </w:trPr>
        <w:tc>
          <w:tcPr>
            <w:tcW w:w="3240" w:type="dxa"/>
            <w:vAlign w:val="bottom"/>
          </w:tcPr>
          <w:p>
            <w:pPr>
              <w:jc w:val="center"/>
              <w:ind w:right="1199"/>
              <w:spacing w:after="0"/>
              <w:rPr>
                <w:sz w:val="20"/>
                <w:szCs w:val="20"/>
                <w:color w:val="auto"/>
              </w:rPr>
            </w:pPr>
            <w:r>
              <w:rPr>
                <w:rFonts w:ascii="Times New Roman" w:cs="Times New Roman" w:eastAsia="Times New Roman" w:hAnsi="Times New Roman"/>
                <w:sz w:val="16"/>
                <w:szCs w:val="16"/>
                <w:b w:val="1"/>
                <w:bCs w:val="1"/>
                <w:color w:val="auto"/>
              </w:rPr>
              <w:t>11401 Granite St.</w:t>
            </w:r>
          </w:p>
        </w:tc>
        <w:tc>
          <w:tcPr>
            <w:tcW w:w="3360" w:type="dxa"/>
            <w:vAlign w:val="bottom"/>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rPr>
              <w:t>Unit 703-706, K11 Atelier</w:t>
            </w:r>
          </w:p>
        </w:tc>
      </w:tr>
      <w:tr>
        <w:trPr>
          <w:trHeight w:val="338"/>
        </w:trPr>
        <w:tc>
          <w:tcPr>
            <w:tcW w:w="324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rPr>
              <w:t>Charlotte, NC 28273</w:t>
            </w:r>
          </w:p>
        </w:tc>
        <w:tc>
          <w:tcPr>
            <w:tcW w:w="3360" w:type="dxa"/>
            <w:vAlign w:val="bottom"/>
          </w:tcPr>
          <w:p>
            <w:pPr>
              <w:jc w:val="center"/>
              <w:ind w:left="1219"/>
              <w:spacing w:after="0"/>
              <w:rPr>
                <w:sz w:val="20"/>
                <w:szCs w:val="20"/>
                <w:color w:val="auto"/>
              </w:rPr>
            </w:pPr>
            <w:r>
              <w:rPr>
                <w:rFonts w:ascii="Times New Roman" w:cs="Times New Roman" w:eastAsia="Times New Roman" w:hAnsi="Times New Roman"/>
                <w:sz w:val="16"/>
                <w:szCs w:val="16"/>
                <w:b w:val="1"/>
                <w:bCs w:val="1"/>
                <w:color w:val="auto"/>
              </w:rPr>
              <w:t>728 King’s Road, Quarry Bay</w:t>
            </w:r>
          </w:p>
        </w:tc>
      </w:tr>
      <w:tr>
        <w:trPr>
          <w:trHeight w:val="338"/>
        </w:trPr>
        <w:tc>
          <w:tcPr>
            <w:tcW w:w="3240" w:type="dxa"/>
            <w:vAlign w:val="bottom"/>
          </w:tcPr>
          <w:p>
            <w:pPr>
              <w:jc w:val="center"/>
              <w:ind w:right="1199"/>
              <w:spacing w:after="0"/>
              <w:rPr>
                <w:sz w:val="20"/>
                <w:szCs w:val="20"/>
                <w:color w:val="auto"/>
              </w:rPr>
            </w:pPr>
            <w:r>
              <w:rPr>
                <w:rFonts w:ascii="Times New Roman" w:cs="Times New Roman" w:eastAsia="Times New Roman" w:hAnsi="Times New Roman"/>
                <w:sz w:val="16"/>
                <w:szCs w:val="16"/>
                <w:b w:val="1"/>
                <w:bCs w:val="1"/>
                <w:color w:val="auto"/>
                <w:w w:val="99"/>
              </w:rPr>
              <w:t>USA</w:t>
            </w:r>
          </w:p>
        </w:tc>
        <w:tc>
          <w:tcPr>
            <w:tcW w:w="3360" w:type="dxa"/>
            <w:vAlign w:val="bottom"/>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rPr>
              <w:t>Hong Kong</w:t>
            </w:r>
          </w:p>
        </w:tc>
      </w:tr>
      <w:tr>
        <w:trPr>
          <w:trHeight w:val="338"/>
        </w:trPr>
        <w:tc>
          <w:tcPr>
            <w:tcW w:w="3240" w:type="dxa"/>
            <w:vAlign w:val="bottom"/>
          </w:tcPr>
          <w:p>
            <w:pPr>
              <w:spacing w:after="0"/>
              <w:rPr>
                <w:sz w:val="24"/>
                <w:szCs w:val="24"/>
                <w:color w:val="auto"/>
              </w:rPr>
            </w:pPr>
          </w:p>
        </w:tc>
        <w:tc>
          <w:tcPr>
            <w:tcW w:w="3360" w:type="dxa"/>
            <w:vAlign w:val="bottom"/>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w w:val="99"/>
              </w:rPr>
              <w:t>85222109588</w:t>
            </w:r>
          </w:p>
        </w:tc>
      </w:tr>
    </w:tbl>
    <w:p>
      <w:pPr>
        <w:spacing w:after="0" w:line="154"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6"/>
          <w:szCs w:val="16"/>
          <w:color w:val="auto"/>
        </w:rPr>
        <w:t>(Address and telephone number of registrant’s principal executive offices)</w:t>
      </w:r>
    </w:p>
    <w:p>
      <w:pPr>
        <w:spacing w:after="0" w:line="98"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6"/>
          <w:szCs w:val="16"/>
          <w:b w:val="1"/>
          <w:bCs w:val="1"/>
          <w:color w:val="auto"/>
        </w:rPr>
        <w:t>Cogency Global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122 East 42</w:t>
      </w:r>
      <w:r>
        <w:rPr>
          <w:rFonts w:ascii="Times New Roman" w:cs="Times New Roman" w:eastAsia="Times New Roman" w:hAnsi="Times New Roman"/>
          <w:sz w:val="21"/>
          <w:szCs w:val="21"/>
          <w:b w:val="1"/>
          <w:bCs w:val="1"/>
          <w:color w:val="auto"/>
          <w:vertAlign w:val="superscript"/>
        </w:rPr>
        <w:t>nd</w:t>
      </w:r>
      <w:r>
        <w:rPr>
          <w:rFonts w:ascii="Times New Roman" w:cs="Times New Roman" w:eastAsia="Times New Roman" w:hAnsi="Times New Roman"/>
          <w:sz w:val="16"/>
          <w:szCs w:val="16"/>
          <w:b w:val="1"/>
          <w:bCs w:val="1"/>
          <w:color w:val="auto"/>
        </w:rPr>
        <w:t xml:space="preserve"> Street, 18</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Floor, New York, N.Y. 10168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 (800) 221-0102</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Danny Sheng Wu Yeung</w:t>
      </w:r>
    </w:p>
    <w:p>
      <w:pPr>
        <w:spacing w:after="0" w:line="4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6"/>
          <w:szCs w:val="16"/>
          <w:b w:val="1"/>
          <w:bCs w:val="1"/>
          <w:color w:val="auto"/>
        </w:rPr>
        <w:t>Unit 703-706, K11 Atelier</w:t>
      </w:r>
    </w:p>
    <w:p>
      <w:pPr>
        <w:spacing w:after="0" w:line="4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728 King’s Road, Quarry Bay</w:t>
      </w:r>
    </w:p>
    <w:p>
      <w:pPr>
        <w:spacing w:after="0" w:line="32"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Hong Kong</w:t>
      </w:r>
    </w:p>
    <w:p>
      <w:pPr>
        <w:spacing w:after="0" w:line="32"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6"/>
          <w:szCs w:val="16"/>
          <w:b w:val="1"/>
          <w:bCs w:val="1"/>
          <w:color w:val="auto"/>
        </w:rPr>
        <w:t>Tel: +852 2110 9588</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From time to time after the effective date of this registration statement.</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If only securities being registered on this Form are being offered pursuant to dividend or interest reinvestment plans, please check the following box. </w:t>
      </w:r>
      <w:r>
        <w:rPr>
          <w:rFonts w:ascii="Wingdings" w:cs="Wingdings" w:eastAsia="Wingdings" w:hAnsi="Wingdings"/>
          <w:sz w:val="16"/>
          <w:szCs w:val="16"/>
          <w:b w:val="1"/>
          <w:bCs w:val="1"/>
          <w:color w:val="auto"/>
        </w:rPr>
        <w:t>o</w:t>
      </w:r>
    </w:p>
    <w:p>
      <w:pPr>
        <w:spacing w:after="0" w:line="154" w:lineRule="exact"/>
        <w:rPr>
          <w:sz w:val="24"/>
          <w:szCs w:val="24"/>
          <w:color w:val="auto"/>
        </w:rPr>
      </w:pPr>
    </w:p>
    <w:p>
      <w:pPr>
        <w:ind w:right="20"/>
        <w:spacing w:after="0" w:line="316" w:lineRule="auto"/>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Wingdings" w:cs="Wingdings" w:eastAsia="Wingdings" w:hAnsi="Wingdings"/>
          <w:sz w:val="16"/>
          <w:szCs w:val="16"/>
          <w:b w:val="1"/>
          <w:bCs w:val="1"/>
          <w:color w:val="auto"/>
        </w:rPr>
        <w:t>x</w:t>
      </w:r>
    </w:p>
    <w:p>
      <w:pPr>
        <w:spacing w:after="0" w:line="56"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cs="Wingdings" w:eastAsia="Wingdings" w:hAnsi="Wingdings"/>
          <w:sz w:val="16"/>
          <w:szCs w:val="16"/>
          <w:b w:val="1"/>
          <w:bCs w:val="1"/>
          <w:color w:val="auto"/>
        </w:rPr>
        <w:t>o</w:t>
      </w:r>
    </w:p>
    <w:p>
      <w:pPr>
        <w:spacing w:after="0" w:line="70"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cs="Wingdings" w:eastAsia="Wingdings" w:hAnsi="Wingdings"/>
          <w:sz w:val="16"/>
          <w:szCs w:val="16"/>
          <w:b w:val="1"/>
          <w:bCs w:val="1"/>
          <w:color w:val="auto"/>
        </w:rPr>
        <w:t>o</w:t>
      </w:r>
    </w:p>
    <w:p>
      <w:pPr>
        <w:spacing w:after="0" w:line="84" w:lineRule="exact"/>
        <w:rPr>
          <w:sz w:val="24"/>
          <w:szCs w:val="24"/>
          <w:color w:val="auto"/>
        </w:rPr>
      </w:pPr>
    </w:p>
    <w:p>
      <w:pPr>
        <w:spacing w:after="0" w:line="316" w:lineRule="auto"/>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Wingdings" w:cs="Wingdings" w:eastAsia="Wingdings" w:hAnsi="Wingdings"/>
          <w:sz w:val="16"/>
          <w:szCs w:val="16"/>
          <w:b w:val="1"/>
          <w:bCs w:val="1"/>
          <w:color w:val="auto"/>
        </w:rPr>
        <w:t>o</w:t>
      </w:r>
    </w:p>
    <w:p>
      <w:pPr>
        <w:spacing w:after="0" w:line="56"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Wingdings" w:cs="Wingdings" w:eastAsia="Wingdings" w:hAnsi="Wingdings"/>
          <w:sz w:val="16"/>
          <w:szCs w:val="16"/>
          <w:b w:val="1"/>
          <w:bCs w:val="1"/>
          <w:color w:val="auto"/>
        </w:rPr>
        <w:t>o</w:t>
      </w:r>
    </w:p>
    <w:p>
      <w:pPr>
        <w:spacing w:after="0" w:line="84" w:lineRule="exact"/>
        <w:rPr>
          <w:sz w:val="24"/>
          <w:szCs w:val="24"/>
          <w:color w:val="auto"/>
        </w:rPr>
      </w:pPr>
    </w:p>
    <w:p>
      <w:pPr>
        <w:ind w:right="20"/>
        <w:spacing w:after="0" w:line="316"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Wingdings" w:cs="Wingdings" w:eastAsia="Wingdings" w:hAnsi="Wingdings"/>
          <w:sz w:val="16"/>
          <w:szCs w:val="16"/>
          <w:b w:val="1"/>
          <w:bCs w:val="1"/>
          <w:color w:val="auto"/>
        </w:rPr>
        <w:t>o</w:t>
      </w:r>
    </w:p>
    <w:p>
      <w:pPr>
        <w:sectPr>
          <w:pgSz w:w="11900" w:h="16838" w:orient="portrait"/>
          <w:cols w:equalWidth="0" w:num="1">
            <w:col w:w="11240"/>
          </w:cols>
          <w:pgMar w:left="320" w:top="2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September 8, 2025</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333-288824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x</w:t>
      </w:r>
    </w:p>
    <w:p>
      <w:pPr>
        <w:spacing w:after="0" w:line="154" w:lineRule="exact"/>
        <w:rPr>
          <w:sz w:val="20"/>
          <w:szCs w:val="20"/>
          <w:color w:val="auto"/>
        </w:rPr>
      </w:pPr>
    </w:p>
    <w:p>
      <w:pPr>
        <w:spacing w:after="0" w:line="333" w:lineRule="auto"/>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6"/>
          <w:szCs w:val="16"/>
          <w:b w:val="1"/>
          <w:bCs w:val="1"/>
          <w:color w:val="auto"/>
        </w:rPr>
        <w:t>o</w:t>
      </w:r>
    </w:p>
    <w:p>
      <w:pPr>
        <w:spacing w:after="0" w:line="43" w:lineRule="exact"/>
        <w:rPr>
          <w:sz w:val="20"/>
          <w:szCs w:val="20"/>
          <w:color w:val="auto"/>
        </w:rPr>
      </w:pPr>
    </w:p>
    <w:p>
      <w:pPr>
        <w:ind w:right="20" w:firstLine="8"/>
        <w:spacing w:after="0" w:line="332" w:lineRule="auto"/>
        <w:tabs>
          <w:tab w:leader="none" w:pos="202"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5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240"/>
          </w:cols>
          <w:pgMar w:left="320" w:top="124" w:right="339" w:bottom="1440" w:gutter="0" w:footer="0" w:header="0"/>
        </w:sectPr>
      </w:pPr>
    </w:p>
    <w:bookmarkStart w:id="2" w:name="page3"/>
    <w:bookmarkEnd w:id="2"/>
    <w:p>
      <w:pPr>
        <w:jc w:val="both"/>
        <w:spacing w:after="0" w:line="307"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securities and it is not soliciting an offer to buy securities in any state where the offer or sale is not permitted.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rPr>
        <w:t>SUBJECT TO COMPLETION, DATED SEPTEMBER 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PRENETICS GLOBAL LIMITED</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$1,000,000,000</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5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16"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any combination of the securities described in this prospectus, with an aggregate offering price of up to $1,000,000,000, subject to shareholder approval of an increase in authorized share capital for equity securities.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 in any of our securities offered hereby.</w:t>
      </w:r>
    </w:p>
    <w:p>
      <w:pPr>
        <w:spacing w:after="0" w:line="139"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Stock Market LLC, or “NASDAQ,” under the trading symbol “PRE”. On September 5, 2025, the closing sale price as reported on Nasdaq of our Class A Ordinary Shares was $8.09 per share.</w:t>
      </w:r>
    </w:p>
    <w:p>
      <w:pPr>
        <w:spacing w:after="0" w:line="121"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We are an “emerging growth company” under applicable U.S. federal securities laws and, as such, are eligible for certain reduced public company reporting requirements. See “Prospectus Summary — Emerging Growth Company.”</w:t>
      </w:r>
    </w:p>
    <w:p>
      <w:pPr>
        <w:spacing w:after="0" w:line="94" w:lineRule="exact"/>
        <w:rPr>
          <w:sz w:val="20"/>
          <w:szCs w:val="20"/>
          <w:color w:val="auto"/>
        </w:rPr>
      </w:pPr>
    </w:p>
    <w:p>
      <w:pPr>
        <w:ind w:right="180"/>
        <w:spacing w:after="0" w:line="329" w:lineRule="auto"/>
        <w:rPr>
          <w:sz w:val="20"/>
          <w:szCs w:val="20"/>
          <w:color w:val="auto"/>
        </w:rPr>
      </w:pPr>
      <w:r>
        <w:rPr>
          <w:rFonts w:ascii="Times New Roman" w:cs="Times New Roman" w:eastAsia="Times New Roman" w:hAnsi="Times New Roman"/>
          <w:sz w:val="18"/>
          <w:szCs w:val="18"/>
          <w:color w:val="auto"/>
        </w:rPr>
        <w:t>We are a “foreign private issuer” as defined under the U.S. federal securities laws and, as such, may elect to comply with certain reduced public company disclosure and reporting requirements. See “Prospectus Summary — Foreign Private Issuer.”</w:t>
      </w:r>
    </w:p>
    <w:p>
      <w:pPr>
        <w:spacing w:after="0" w:line="94"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8"/>
          <w:szCs w:val="18"/>
          <w:color w:val="auto"/>
        </w:rPr>
        <w:t>Throughout this prospectus, unless the context indicates otherwise, references to “Prenetics” refer to Prenetics Holding Company Limited, formerly known as Prenetics Group Limited, a Cayman Islands holding company, references to “Prenetics HK” refer to Prenetics Limited, a wholly owned subsidiary of Prenetics, and references</w:t>
      </w:r>
    </w:p>
    <w:p>
      <w:pPr>
        <w:sectPr>
          <w:pgSz w:w="11900" w:h="16838" w:orient="portrait"/>
          <w:cols w:equalWidth="0" w:num="1">
            <w:col w:w="11240"/>
          </w:cols>
          <w:pgMar w:left="320" w:top="1427" w:right="339" w:bottom="1440" w:gutter="0" w:footer="0" w:header="0"/>
        </w:sectPr>
      </w:pPr>
    </w:p>
    <w:bookmarkStart w:id="3" w:name="page4"/>
    <w:bookmarkEnd w:id="3"/>
    <w:p>
      <w:pPr>
        <w:ind w:right="60"/>
        <w:spacing w:after="0" w:line="302" w:lineRule="auto"/>
        <w:rPr>
          <w:sz w:val="20"/>
          <w:szCs w:val="20"/>
          <w:color w:val="auto"/>
        </w:rPr>
      </w:pPr>
      <w:r>
        <w:rPr>
          <w:rFonts w:ascii="Times New Roman" w:cs="Times New Roman" w:eastAsia="Times New Roman" w:hAnsi="Times New Roman"/>
          <w:sz w:val="18"/>
          <w:szCs w:val="18"/>
          <w:color w:val="auto"/>
        </w:rPr>
        <w:t>to “Prenetics Group” refer to Prenetics Holding Company Limited, together as a group with its subsidiaries, including its operating subsidiaries. As a result of the Business Combination, Prenetics has become a wholly owned subsidiary of ours. Prenetics Global Limited is a Cayman Islands holding company with operations primarily conducted by its subsidiaries, in particular, Prenetics and its subsidiaries. We have subsidiaries conducting operations in Hong Kong. Investors purchasing our securities are purchasing equity interests in the Cayman Islands holding company.</w:t>
      </w:r>
    </w:p>
    <w:p>
      <w:pPr>
        <w:spacing w:after="0" w:line="11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Prenetics, the holding company, does not conduct operations in China, though certain of the group’s subsidiaries conduct operations in Hong Kong, a special administrative region of the People’s Republic of China (“PRC”). As a result, we face various legal and operational risks and uncertainties relating to our operations in Hong Kong, and from the evolving regulatory landscape in the PRC generally. As we presently do not have any business operations in mainland China, either directly or through Variable Interest Entity (VIE) arrangements, we consider that the current laws and regulations of the PRC applicable in mainland China have no material impact on our business, financial condition or results of operations. However, since Hong Kong and Macau are special administrative regions of China, the legal and operational risks associated with operating in China also apply to operations in Hong Kong and Macau.</w:t>
      </w:r>
    </w:p>
    <w:p>
      <w:pPr>
        <w:spacing w:after="0" w:line="142"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8"/>
          <w:szCs w:val="18"/>
          <w:color w:val="auto"/>
        </w:rPr>
        <w:t>The PRC government has recently indicated an intent to exert more oversight and control over offerings conducted overseas (including those using entity variable interest entity (“VIE”) structure) and foreign investment in China-based companies. This has been evidenced by its probe into several U.S.-listed technology companies with operations in mainland China, focusing on anti-monopoly, financial technology regulation and more recently, with the passage of the PRC Data Security Law, how companies collect, store, process and transfer personal data. Currently, these laws and regulations are expected to apply to mainland China domestic businesses, rather than businesses in Hong Kong which operate under a different set of laws from mainland China. However, there can be no assurance that the PRC government will not, in the future, expand the application of such regulations, or adopt new laws, regulations, or policies, that could apply to our operations in Hong Kong, or that the government of Hong Kong may enact similar laws and regulations applicable to companies operating in Hong Kong. Should the PRC government seek to affect operations of any company with any level of operations in Hong Kong, should certain PRC laws and regulations or these statements or regulatory actions become applicable to us in the future, or should the government of Hong Kong enact similar laws and regulations, it would likely have a material adverse impact on our business, financial condition and results of operations, ability to accept foreign investments and our ability to offer or continue to offer securities to investors in the U.S. or to list on a U.S. or other international securities exchange, any of which may cause the value of our securities to significantly decline or become worthless.</w:t>
      </w:r>
    </w:p>
    <w:p>
      <w:pPr>
        <w:spacing w:after="0" w:line="12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On December 16, 2021, the PCAOB issued a report on its determinations that it was unable to inspect or investigate completely PCAOB-registered public accounting firms headquartered in mainland China and in Hong Kong, and our auditor was subject to that determination.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or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and as a result, NASDAQ may determine to delist our securities. See “Risk Factors - Risks Related to Our Business and Industry - The PCAOB had historically been unable to inspect our auditor in relation to their audit work” and “Risk Factors - Risks Related to Our Business and Industry - Our securities may be prohibited from being traded</w:t>
      </w:r>
    </w:p>
    <w:p>
      <w:pPr>
        <w:sectPr>
          <w:pgSz w:w="11900" w:h="16838" w:orient="portrait"/>
          <w:cols w:equalWidth="0" w:num="1">
            <w:col w:w="11240"/>
          </w:cols>
          <w:pgMar w:left="320" w:top="1431" w:right="339" w:bottom="1440" w:gutter="0" w:footer="0" w:header="0"/>
        </w:sectPr>
      </w:pPr>
    </w:p>
    <w:bookmarkStart w:id="4" w:name="page5"/>
    <w:bookmarkEnd w:id="4"/>
    <w:p>
      <w:pPr>
        <w:spacing w:after="0" w:line="295" w:lineRule="auto"/>
        <w:rPr>
          <w:sz w:val="20"/>
          <w:szCs w:val="20"/>
          <w:color w:val="auto"/>
        </w:rPr>
      </w:pPr>
      <w:r>
        <w:rPr>
          <w:rFonts w:ascii="Times New Roman" w:cs="Times New Roman" w:eastAsia="Times New Roman" w:hAnsi="Times New Roman"/>
          <w:sz w:val="18"/>
          <w:szCs w:val="18"/>
          <w:color w:val="auto"/>
        </w:rPr>
        <w:t>in the United States under the Holding Foreign Companies Accountable Act in the future if the PCAOB is unable to inspect or investigate completely auditors located in China. The Holding Foreign Companies Accountable Act, as amended by the Consolidated Appropriations Act, 2023, decreased the number of “non-inspection years” from three years to two years, and thus, reduced the time before our securities may be prohibited from trading or delisted. The delisting of our securities, or the threat of them being delisted, may materially and adversely affect the value of your investment.” In light of the PRC government’s expansion of authority in Hong Kong, there are risks and uncertainties which we cannot foresee for the time being, and rules and regulations in China can change quickly with little or no advance notice. The PRC government may intervene or influence our current and future operations in Hong Kong or mainland China, if we in the future decide to expand our business operations in mainland China, at any time, or may exert more control over offerings conducted in the U.S. or in other international jurisdictions or foreign investment in companies like us.</w:t>
      </w:r>
    </w:p>
    <w:p>
      <w:pPr>
        <w:spacing w:after="0" w:line="125"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8"/>
          <w:szCs w:val="18"/>
          <w:color w:val="auto"/>
        </w:rPr>
        <w:t>As a holding company, we may rely on intercompany advances, dividends and other distributions on equity paid by our subsidiaries for our cash and financing requirements. Our subsidiaries received an aggregate transfer of approximately $0.1 million for the six months period ended June 30, 2025, and $54.7 million and $48.4 million for the years ended December 31, 2024 and 2023, respectively, from the Company to fund their business operations. Our Company received an aggregate transfer of $23.1 million for the six months period ended June 30, 2025 from a subsidiary, and did not receive any such transfer for the year ended December 31, 2024 and 2023 from its subsidiaries. In accordance with IFRS Accounting Standards, such intercompany cash transfers between our Company and its subsidiaries are eliminated upon consolidation and therefore are not separately presented in our consolidated financial statements.</w:t>
      </w:r>
    </w:p>
    <w:p>
      <w:pPr>
        <w:spacing w:after="0" w:line="142" w:lineRule="exact"/>
        <w:rPr>
          <w:sz w:val="20"/>
          <w:szCs w:val="20"/>
          <w:color w:val="auto"/>
        </w:rPr>
      </w:pPr>
    </w:p>
    <w:p>
      <w:pPr>
        <w:ind w:right="200"/>
        <w:spacing w:after="0" w:line="305" w:lineRule="auto"/>
        <w:rPr>
          <w:sz w:val="20"/>
          <w:szCs w:val="20"/>
          <w:color w:val="auto"/>
        </w:rPr>
      </w:pPr>
      <w:r>
        <w:rPr>
          <w:rFonts w:ascii="Times New Roman" w:cs="Times New Roman" w:eastAsia="Times New Roman" w:hAnsi="Times New Roman"/>
          <w:sz w:val="18"/>
          <w:szCs w:val="18"/>
          <w:color w:val="auto"/>
        </w:rPr>
        <w:t>We and our subsidiaries have not declared or paid any dividends or distributions to investors as of the date of this prospectus. We do not intend to declare dividends or distribute earnings (if any) in the near future. Any determination to pay dividends or distribute earnings (if any) in the future will be at the discretion of our board of directors.</w:t>
      </w:r>
    </w:p>
    <w:p>
      <w:pPr>
        <w:spacing w:after="0" w:line="129"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8"/>
          <w:szCs w:val="18"/>
          <w:color w:val="auto"/>
        </w:rPr>
        <w:t>In the future, any cash proceeds raised from our financing activities, including drawdown from this prospectus, may be transferred by us to our subsidiaries via capital contribution or shareholder loans, as the case may be.</w:t>
      </w:r>
    </w:p>
    <w:p>
      <w:pPr>
        <w:spacing w:after="0" w:line="122"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8"/>
          <w:szCs w:val="18"/>
          <w:color w:val="auto"/>
        </w:rPr>
        <w:t>See “Prospectus Summary—Cash Transfers and Dividend Distribution” for a more detailed description of our cash transfers and dividend distribution; note 3 “Basis of preparation of consolidated financial statements and material accounting policy information” to our consolidated financial statements for the year ended December 31, 2024 (Year 2023: Note 38, “Material accounting policies”; Year 2022: Note 36, “Significant accounting policies”) for further details of our IFRS accounting standards and policies; and note 29 “Capital and Reserves” to our consolidated financial statements for the year ended December 31, 2024 (Year 2023: Note 29; Year 2022: Note 28) for further information regarding shareholders’ rights to dividends and the Company’s capital reserve structure.</w:t>
      </w:r>
    </w:p>
    <w:p>
      <w:pPr>
        <w:spacing w:after="0" w:line="122"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17</w:t>
      </w:r>
      <w:r>
        <w:rPr>
          <w:rFonts w:ascii="Times New Roman" w:cs="Times New Roman" w:eastAsia="Times New Roman" w:hAnsi="Times New Roman"/>
          <w:sz w:val="18"/>
          <w:szCs w:val="18"/>
          <w:b w:val="1"/>
          <w:bCs w:val="1"/>
          <w:color w:val="auto"/>
        </w:rPr>
        <w:t xml:space="preserve"> of this prospectus and other risk factors contained in the documents incorporated by reference herein for a discussion of information that should be considered in connection with an investment in our securities.</w:t>
      </w:r>
    </w:p>
    <w:p>
      <w:pPr>
        <w:spacing w:after="0" w:line="130" w:lineRule="exact"/>
        <w:rPr>
          <w:sz w:val="20"/>
          <w:szCs w:val="20"/>
          <w:color w:val="auto"/>
        </w:rPr>
      </w:pPr>
    </w:p>
    <w:p>
      <w:pPr>
        <w:ind w:right="820"/>
        <w:spacing w:after="0" w:line="31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other regulatory body has approved or disapproved of these securities or determined if this prospectus is truthful or complete. Any representation to the contrary is a criminal offense.</w:t>
      </w:r>
    </w:p>
    <w:p>
      <w:pPr>
        <w:spacing w:after="0" w:line="261" w:lineRule="exact"/>
        <w:rPr>
          <w:sz w:val="20"/>
          <w:szCs w:val="20"/>
          <w:color w:val="auto"/>
        </w:rPr>
      </w:pPr>
    </w:p>
    <w:tbl>
      <w:tblPr>
        <w:tblLayout w:type="fixed"/>
        <w:tblInd w:w="414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 DATED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2025</w:t>
            </w:r>
          </w:p>
        </w:tc>
      </w:tr>
    </w:tbl>
    <w:p>
      <w:pPr>
        <w:sectPr>
          <w:pgSz w:w="11900" w:h="16838" w:orient="portrait"/>
          <w:cols w:equalWidth="0" w:num="1">
            <w:col w:w="11240"/>
          </w:cols>
          <w:pgMar w:left="320" w:top="1431"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88"/>
        </w:trPr>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r>
      <w:tr>
        <w:trPr>
          <w:trHeight w:val="507"/>
        </w:trPr>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ABOUT THIS PROSPECTUS</w:t>
            </w:r>
          </w:p>
        </w:tc>
        <w:tc>
          <w:tcPr>
            <w:tcW w:w="8120" w:type="dxa"/>
            <w:vAlign w:val="bottom"/>
            <w:gridSpan w:val="8"/>
          </w:tcPr>
          <w:p>
            <w:pPr>
              <w:spacing w:after="0"/>
              <w:rPr>
                <w:sz w:val="24"/>
                <w:szCs w:val="24"/>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88"/>
              </w:rPr>
              <w:t>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COMMONLY USED TERMS</w:t>
            </w:r>
          </w:p>
        </w:tc>
        <w:tc>
          <w:tcPr>
            <w:tcW w:w="8120" w:type="dxa"/>
            <w:vAlign w:val="bottom"/>
            <w:gridSpan w:val="8"/>
          </w:tcPr>
          <w:p>
            <w:pPr>
              <w:spacing w:after="0"/>
              <w:rPr>
                <w:sz w:val="24"/>
                <w:szCs w:val="24"/>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88"/>
              </w:rPr>
              <w:t>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WHERE YOU CAN FIND MORE INFORMATION; INCORPORATION OF CERTAIN INFORMATION BY REFERENCE</w:t>
            </w:r>
          </w:p>
        </w:tc>
        <w:tc>
          <w:tcPr>
            <w:tcW w:w="1240" w:type="dxa"/>
            <w:vAlign w:val="bottom"/>
          </w:tcPr>
          <w:p>
            <w:pPr>
              <w:spacing w:after="0"/>
              <w:rPr>
                <w:sz w:val="24"/>
                <w:szCs w:val="24"/>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88"/>
              </w:rPr>
              <w:t>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4"/>
              </w:rPr>
              <w:t>FORWARD-LOOKING STATEMENTS</w:t>
            </w:r>
          </w:p>
        </w:tc>
        <w:tc>
          <w:tcPr>
            <w:tcW w:w="6220" w:type="dxa"/>
            <w:vAlign w:val="bottom"/>
            <w:gridSpan w:val="5"/>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88"/>
              </w:rPr>
              <w:t>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2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820" w:type="dxa"/>
            <w:vAlign w:val="bottom"/>
            <w:gridSpan w:val="3"/>
          </w:tcPr>
          <w:p>
            <w:pPr>
              <w:spacing w:after="0"/>
              <w:rPr>
                <w:sz w:val="24"/>
                <w:szCs w:val="24"/>
                <w:color w:val="auto"/>
              </w:rPr>
            </w:pPr>
          </w:p>
        </w:tc>
        <w:tc>
          <w:tcPr>
            <w:tcW w:w="7460" w:type="dxa"/>
            <w:vAlign w:val="bottom"/>
            <w:gridSpan w:val="6"/>
          </w:tcPr>
          <w:p>
            <w:pPr>
              <w:spacing w:after="0"/>
              <w:rPr>
                <w:sz w:val="24"/>
                <w:szCs w:val="24"/>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88"/>
              </w:rPr>
              <w:t>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00" w:type="dxa"/>
            <w:vAlign w:val="bottom"/>
            <w:gridSpan w:val="4"/>
          </w:tcPr>
          <w:p>
            <w:pPr>
              <w:spacing w:after="0"/>
              <w:rPr>
                <w:sz w:val="24"/>
                <w:szCs w:val="24"/>
                <w:color w:val="auto"/>
              </w:rPr>
            </w:pPr>
          </w:p>
        </w:tc>
        <w:tc>
          <w:tcPr>
            <w:tcW w:w="8280" w:type="dxa"/>
            <w:vAlign w:val="bottom"/>
            <w:gridSpan w:val="9"/>
          </w:tcPr>
          <w:p>
            <w:pPr>
              <w:spacing w:after="0"/>
              <w:rPr>
                <w:sz w:val="24"/>
                <w:szCs w:val="24"/>
                <w:color w:val="auto"/>
              </w:rPr>
            </w:pPr>
          </w:p>
        </w:tc>
        <w:tc>
          <w:tcPr>
            <w:tcW w:w="5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17</w:t>
            </w: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10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5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24</w:t>
            </w: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3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DESCRIPTION OF DEBT SECURITIES</w:t>
            </w:r>
          </w:p>
        </w:tc>
        <w:tc>
          <w:tcPr>
            <w:tcW w:w="7300" w:type="dxa"/>
            <w:vAlign w:val="bottom"/>
            <w:gridSpan w:val="5"/>
          </w:tcPr>
          <w:p>
            <w:pPr>
              <w:spacing w:after="0"/>
              <w:rPr>
                <w:sz w:val="24"/>
                <w:szCs w:val="24"/>
                <w:color w:val="auto"/>
              </w:rPr>
            </w:pPr>
          </w:p>
        </w:tc>
        <w:tc>
          <w:tcPr>
            <w:tcW w:w="5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25</w:t>
            </w: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DESCRIPTION OF SHARE CAPITAL</w:t>
            </w:r>
          </w:p>
        </w:tc>
        <w:tc>
          <w:tcPr>
            <w:tcW w:w="160" w:type="dxa"/>
            <w:vAlign w:val="bottom"/>
          </w:tcPr>
          <w:p>
            <w:pPr>
              <w:spacing w:after="0"/>
              <w:rPr>
                <w:sz w:val="24"/>
                <w:szCs w:val="24"/>
                <w:color w:val="auto"/>
              </w:rPr>
            </w:pPr>
          </w:p>
        </w:tc>
        <w:tc>
          <w:tcPr>
            <w:tcW w:w="7300" w:type="dxa"/>
            <w:vAlign w:val="bottom"/>
            <w:gridSpan w:val="5"/>
          </w:tcPr>
          <w:p>
            <w:pPr>
              <w:spacing w:after="0"/>
              <w:rPr>
                <w:sz w:val="24"/>
                <w:szCs w:val="24"/>
                <w:color w:val="auto"/>
              </w:rPr>
            </w:pPr>
          </w:p>
        </w:tc>
        <w:tc>
          <w:tcPr>
            <w:tcW w:w="5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35</w:t>
            </w: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10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DESCRIPTION OF DEPOSITARY SHARES</w:t>
            </w:r>
          </w:p>
        </w:tc>
        <w:tc>
          <w:tcPr>
            <w:tcW w:w="5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45</w:t>
            </w: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33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020" w:type="dxa"/>
            <w:vAlign w:val="bottom"/>
            <w:gridSpan w:val="4"/>
          </w:tcPr>
          <w:p>
            <w:pPr>
              <w:spacing w:after="0"/>
              <w:rPr>
                <w:sz w:val="24"/>
                <w:szCs w:val="24"/>
                <w:color w:val="auto"/>
              </w:rPr>
            </w:pPr>
          </w:p>
        </w:tc>
        <w:tc>
          <w:tcPr>
            <w:tcW w:w="5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48</w:t>
            </w: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2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DESCRIPTION OF UNITS</w:t>
            </w:r>
          </w:p>
        </w:tc>
        <w:tc>
          <w:tcPr>
            <w:tcW w:w="7860" w:type="dxa"/>
            <w:vAlign w:val="bottom"/>
            <w:gridSpan w:val="7"/>
          </w:tcPr>
          <w:p>
            <w:pPr>
              <w:spacing w:after="0"/>
              <w:rPr>
                <w:sz w:val="24"/>
                <w:szCs w:val="24"/>
                <w:color w:val="auto"/>
              </w:rPr>
            </w:pPr>
          </w:p>
        </w:tc>
        <w:tc>
          <w:tcPr>
            <w:tcW w:w="5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49</w:t>
            </w: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19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FORMS OF SECURITIES</w:t>
            </w:r>
          </w:p>
        </w:tc>
        <w:tc>
          <w:tcPr>
            <w:tcW w:w="8380" w:type="dxa"/>
            <w:vAlign w:val="bottom"/>
            <w:gridSpan w:val="10"/>
          </w:tcPr>
          <w:p>
            <w:pPr>
              <w:spacing w:after="0"/>
              <w:rPr>
                <w:sz w:val="24"/>
                <w:szCs w:val="24"/>
                <w:color w:val="auto"/>
              </w:rPr>
            </w:pPr>
          </w:p>
        </w:tc>
        <w:tc>
          <w:tcPr>
            <w:tcW w:w="5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50</w:t>
            </w: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2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8280" w:type="dxa"/>
            <w:vAlign w:val="bottom"/>
            <w:gridSpan w:val="9"/>
          </w:tcPr>
          <w:p>
            <w:pPr>
              <w:spacing w:after="0"/>
              <w:rPr>
                <w:sz w:val="24"/>
                <w:szCs w:val="24"/>
                <w:color w:val="auto"/>
              </w:rPr>
            </w:pPr>
          </w:p>
        </w:tc>
        <w:tc>
          <w:tcPr>
            <w:tcW w:w="5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52</w:t>
            </w: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2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TAXATION</w:t>
            </w:r>
          </w:p>
        </w:tc>
        <w:tc>
          <w:tcPr>
            <w:tcW w:w="8280" w:type="dxa"/>
            <w:vAlign w:val="bottom"/>
            <w:gridSpan w:val="9"/>
          </w:tcPr>
          <w:p>
            <w:pPr>
              <w:spacing w:after="0"/>
              <w:rPr>
                <w:sz w:val="24"/>
                <w:szCs w:val="24"/>
                <w:color w:val="auto"/>
              </w:rPr>
            </w:pPr>
          </w:p>
        </w:tc>
        <w:tc>
          <w:tcPr>
            <w:tcW w:w="5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54</w:t>
            </w: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10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EXPENSES RELATED TO THE OFFERING</w:t>
            </w:r>
          </w:p>
        </w:tc>
        <w:tc>
          <w:tcPr>
            <w:tcW w:w="5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55</w:t>
            </w: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3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7000" w:type="dxa"/>
            <w:vAlign w:val="bottom"/>
            <w:gridSpan w:val="3"/>
          </w:tcPr>
          <w:p>
            <w:pPr>
              <w:spacing w:after="0"/>
              <w:rPr>
                <w:sz w:val="24"/>
                <w:szCs w:val="24"/>
                <w:color w:val="auto"/>
              </w:rPr>
            </w:pPr>
          </w:p>
        </w:tc>
        <w:tc>
          <w:tcPr>
            <w:tcW w:w="5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56</w:t>
            </w: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340" w:type="dxa"/>
            <w:vAlign w:val="bottom"/>
            <w:gridSpan w:val="1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3"/>
          </w:tcPr>
          <w:p>
            <w:pPr>
              <w:spacing w:after="0"/>
              <w:rPr>
                <w:sz w:val="24"/>
                <w:szCs w:val="24"/>
                <w:color w:val="auto"/>
              </w:rPr>
            </w:pPr>
          </w:p>
        </w:tc>
        <w:tc>
          <w:tcPr>
            <w:tcW w:w="8880" w:type="dxa"/>
            <w:vAlign w:val="bottom"/>
            <w:gridSpan w:val="12"/>
          </w:tcPr>
          <w:p>
            <w:pPr>
              <w:spacing w:after="0"/>
              <w:rPr>
                <w:sz w:val="24"/>
                <w:szCs w:val="24"/>
                <w:color w:val="auto"/>
              </w:rPr>
            </w:pPr>
          </w:p>
        </w:tc>
        <w:tc>
          <w:tcPr>
            <w:tcW w:w="5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57</w:t>
            </w: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88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ENFORCEABILITY OF CIVIL LIABILITIES AND AGENT FOR SERVICE OF PROCESS IN THE UNITED STATES</w:t>
            </w:r>
          </w:p>
        </w:tc>
        <w:tc>
          <w:tcPr>
            <w:tcW w:w="1540" w:type="dxa"/>
            <w:vAlign w:val="bottom"/>
            <w:gridSpan w:val="2"/>
          </w:tcPr>
          <w:p>
            <w:pPr>
              <w:spacing w:after="0"/>
              <w:rPr>
                <w:sz w:val="24"/>
                <w:szCs w:val="24"/>
                <w:color w:val="auto"/>
              </w:rPr>
            </w:pPr>
          </w:p>
        </w:tc>
        <w:tc>
          <w:tcPr>
            <w:tcW w:w="5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58</w:t>
            </w:r>
          </w:p>
        </w:tc>
        <w:tc>
          <w:tcPr>
            <w:tcW w:w="30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20"/>
          </w:cols>
          <w:pgMar w:left="340" w:top="142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70"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8"/>
          <w:szCs w:val="18"/>
          <w:color w:val="auto"/>
        </w:rPr>
        <w:t>This prospectus is part of a registration statement filed with the U.S. Securities and Exchange Commission, which we refer to as the “SEC” in this prospectus, by Prenetics Global Limited using a “shelf” registration process. By using this shelf registration statement, we may, at any time and from time to time, offer and/or sell the securities described in this prospectus in one or more offerings.</w:t>
      </w:r>
    </w:p>
    <w:p>
      <w:pPr>
        <w:spacing w:after="0" w:line="169"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You should read both this prospectus and the accompanying prospectus supplement (and any applicable free writing prospectus) together with the additional information described under the headings “Where You Can Find More Information” and “Incorporation by Reference.” If there is any inconsistency between the information in this prospectus and any prospectus supplement or free writing prospectus, you should rely on the information contained in the prospectus supplement or free writing prospectus, as applicable.</w:t>
      </w:r>
    </w:p>
    <w:p>
      <w:pPr>
        <w:spacing w:after="0" w:line="19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We take no responsibility for, and can provide no assurance as to the reliability of, any other information or representations that others may give you. This prospectus and any accompanying prospectus supplement (and any applicable free writing prospectus) do not constitute an offer to sell or the solicitation of an offer to buy any securities other than the securities described in this prospectus or such accompanying prospectus supplement or an offer to sell or the solicitation of an offer to buy such securities in any jurisdiction or under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6"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7"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8"/>
          <w:szCs w:val="18"/>
          <w:color w:val="auto"/>
        </w:rPr>
        <w:t>A statement contained in a subsequent prospectus supplement or document incorporated by reference into this prospectus after the date hereof shall be deemed to be modified or superseded for purposes of this prospectus to the extent that such statement contained in this prospectus conflicts or is otherwise inconsistent with the statement in any such prospectus supplement or subsequently filed document which is also incorporated in this prospectus. Any statements so modified or superseded shall not be deemed, except as so modified or superseded, to constitute a part of this prospectus.</w:t>
      </w:r>
    </w:p>
    <w:p>
      <w:pPr>
        <w:spacing w:after="0" w:line="173"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auto"/>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27" w:right="339" w:bottom="1440" w:gutter="0" w:footer="0" w:header="0"/>
        </w:sectPr>
      </w:pPr>
    </w:p>
    <w:bookmarkStart w:id="7" w:name="page8"/>
    <w:bookmarkEnd w:id="7"/>
    <w:p>
      <w:pPr>
        <w:spacing w:after="0" w:line="302" w:lineRule="auto"/>
        <w:rPr>
          <w:sz w:val="20"/>
          <w:szCs w:val="20"/>
          <w:color w:val="auto"/>
        </w:rPr>
      </w:pPr>
      <w:r>
        <w:rPr>
          <w:rFonts w:ascii="Times New Roman" w:cs="Times New Roman" w:eastAsia="Times New Roman" w:hAnsi="Times New Roman"/>
          <w:sz w:val="18"/>
          <w:szCs w:val="18"/>
          <w:color w:val="auto"/>
        </w:rPr>
        <w:t>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in any accompanying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1431" w:right="459" w:bottom="1440" w:gutter="0" w:footer="0" w:header="0"/>
        </w:sectPr>
      </w:pPr>
    </w:p>
    <w:bookmarkStart w:id="8" w:name="page9"/>
    <w:bookmarkEnd w:id="8"/>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COMMONLY USED TERMS</w:t>
      </w:r>
    </w:p>
    <w:p>
      <w:pPr>
        <w:spacing w:after="0" w:line="27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References to “U.S. Dollars,” “USD,” “US$” and “$” in this prospectus are to United States dollars, the legal currency of the United States. Discrepancies in any table between totals and sums of the amounts listed are due to rounding. Certain amounts and percentages have been rounded; consequently, certain figures may add up to be more or less than the total amount and certain percentages may add up to be more or less than 100% due to rounding. In particular and without limitation, amounts expressed in millions contained in this prospectus have been rounded to a single decimal place for the convenience of readers.</w:t>
      </w:r>
    </w:p>
    <w:p>
      <w:pPr>
        <w:spacing w:after="0" w:line="177" w:lineRule="exact"/>
        <w:rPr>
          <w:sz w:val="20"/>
          <w:szCs w:val="20"/>
          <w:color w:val="auto"/>
        </w:rPr>
      </w:pPr>
    </w:p>
    <w:p>
      <w:pPr>
        <w:ind w:right="220"/>
        <w:spacing w:after="0" w:line="329" w:lineRule="auto"/>
        <w:rPr>
          <w:sz w:val="20"/>
          <w:szCs w:val="20"/>
          <w:color w:val="auto"/>
        </w:rPr>
      </w:pPr>
      <w:r>
        <w:rPr>
          <w:rFonts w:ascii="Times New Roman" w:cs="Times New Roman" w:eastAsia="Times New Roman" w:hAnsi="Times New Roman"/>
          <w:sz w:val="18"/>
          <w:szCs w:val="18"/>
          <w:color w:val="auto"/>
        </w:rPr>
        <w:t>Throughout this prospectus, unless otherwise designated, the terms “we,” “us,” “our,” “the Company”, “Prenetics” and “our company” refer to Prenetics Global Limited and its subsidiaries and consolidated affiliated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440" w:right="379" w:bottom="1440" w:gutter="0" w:footer="0" w:header="0"/>
        </w:sectPr>
      </w:pPr>
    </w:p>
    <w:bookmarkStart w:id="9" w:name="page10"/>
    <w:bookmarkEnd w:id="9"/>
    <w:p>
      <w:pPr>
        <w:spacing w:after="0" w:line="200" w:lineRule="exact"/>
        <w:rPr>
          <w:sz w:val="20"/>
          <w:szCs w:val="20"/>
          <w:color w:val="auto"/>
        </w:rPr>
      </w:pP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OF CERTAIN INFORMATION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color w:val="auto"/>
        </w:rPr>
        <w:t>This prospectus, which is a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7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which we refer to as the “Exchange Act” in this prospectus. Accordingly, we are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96"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color w:val="auto"/>
        </w:rPr>
        <w:t>We also make available on our website, free of charge, our annual report on Form 20-F and the text of our reports on Form 6-K, including any amendments to these reports, as well as certain other SEC filings, as soon as reasonably practicable after they are electronically filed with or furnished to the SEC. Our website address is www.prenetics.com. The reference to our website is an inactive textual reference only, and information contained therein or connected thereto is not incorporated into this prospectus.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7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documents we file with it. This means that we can disclose important information to you by referring you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92"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8"/>
          <w:szCs w:val="18"/>
          <w:color w:val="auto"/>
        </w:rPr>
        <w:t>We incorporate by reference into this prospectus documents listed below and any future filings made with the SEC under Sections 13(a), 13(c), 14 or 15(d) of the Exchange Act, and, to the extent specifically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40" w:right="359" w:bottom="1440" w:gutter="0" w:footer="0" w:header="0"/>
        </w:sectPr>
      </w:pPr>
    </w:p>
    <w:bookmarkStart w:id="10" w:name="page11"/>
    <w:bookmarkEnd w:id="10"/>
    <w:p>
      <w:pPr>
        <w:ind w:right="640"/>
        <w:spacing w:after="0" w:line="329" w:lineRule="auto"/>
        <w:rPr>
          <w:sz w:val="20"/>
          <w:szCs w:val="20"/>
          <w:color w:val="auto"/>
        </w:rPr>
      </w:pPr>
      <w:r>
        <w:rPr>
          <w:rFonts w:ascii="Times New Roman" w:cs="Times New Roman" w:eastAsia="Times New Roman" w:hAnsi="Times New Roman"/>
          <w:sz w:val="18"/>
          <w:szCs w:val="18"/>
          <w:color w:val="auto"/>
        </w:rPr>
        <w:t>therein, reports on Form 6-K we furnish to the SEC on or after the date on which this registration statement is first filed with the SEC, and until the termination or completion of that offering under this prospectus:</w:t>
      </w:r>
    </w:p>
    <w:p>
      <w:pPr>
        <w:spacing w:after="0" w:line="148" w:lineRule="exact"/>
        <w:rPr>
          <w:sz w:val="20"/>
          <w:szCs w:val="20"/>
          <w:color w:val="auto"/>
        </w:rPr>
      </w:pPr>
    </w:p>
    <w:p>
      <w:pPr>
        <w:ind w:left="340" w:hanging="311"/>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20-F filed with the SEC on </w:t>
      </w:r>
      <w:hyperlink r:id="rId8">
        <w:r>
          <w:rPr>
            <w:rFonts w:ascii="Times New Roman" w:cs="Times New Roman" w:eastAsia="Times New Roman" w:hAnsi="Times New Roman"/>
            <w:sz w:val="18"/>
            <w:szCs w:val="18"/>
            <w:u w:val="single" w:color="auto"/>
            <w:color w:val="0000FF"/>
          </w:rPr>
          <w:t>April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amendment no. 1 to the Form 20-F filed with the SEC on </w:t>
      </w:r>
      <w:hyperlink r:id="rId9">
        <w:r>
          <w:rPr>
            <w:rFonts w:ascii="Times New Roman" w:cs="Times New Roman" w:eastAsia="Times New Roman" w:hAnsi="Times New Roman"/>
            <w:sz w:val="18"/>
            <w:szCs w:val="18"/>
            <w:u w:val="single" w:color="auto"/>
            <w:color w:val="0000FF"/>
          </w:rPr>
          <w:t>July 18, 2025</w:t>
        </w:r>
      </w:hyperlink>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auto"/>
        </w:rPr>
      </w:pPr>
    </w:p>
    <w:p>
      <w:pPr>
        <w:ind w:left="340" w:right="440" w:hanging="315"/>
        <w:spacing w:after="0" w:line="305" w:lineRule="auto"/>
        <w:tabs>
          <w:tab w:leader="none" w:pos="335" w:val="left"/>
        </w:tabs>
        <w:numPr>
          <w:ilvl w:val="0"/>
          <w:numId w:val="2"/>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our reports on Form 6-K furnished to the SEC on </w:t>
      </w:r>
      <w:hyperlink r:id="rId10">
        <w:r>
          <w:rPr>
            <w:rFonts w:ascii="Times New Roman" w:cs="Times New Roman" w:eastAsia="Times New Roman" w:hAnsi="Times New Roman"/>
            <w:sz w:val="18"/>
            <w:szCs w:val="18"/>
            <w:u w:val="single" w:color="auto"/>
            <w:color w:val="0000FF"/>
          </w:rPr>
          <w:t>May 29, 2025</w:t>
        </w:r>
      </w:hyperlink>
      <w:r>
        <w:rPr>
          <w:rFonts w:ascii="Times New Roman" w:cs="Times New Roman" w:eastAsia="Times New Roman" w:hAnsi="Times New Roman"/>
          <w:sz w:val="18"/>
          <w:szCs w:val="18"/>
          <w:color w:val="auto"/>
        </w:rPr>
        <w:t xml:space="preserve">, </w:t>
      </w:r>
      <w:hyperlink r:id="rId11">
        <w:r>
          <w:rPr>
            <w:rFonts w:ascii="Times New Roman" w:cs="Times New Roman" w:eastAsia="Times New Roman" w:hAnsi="Times New Roman"/>
            <w:sz w:val="18"/>
            <w:szCs w:val="18"/>
            <w:u w:val="single" w:color="auto"/>
            <w:color w:val="0000FF"/>
          </w:rPr>
          <w:t>June 12, 2025</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FF"/>
          </w:rPr>
          <w:t>June 16, 2025</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FF"/>
          </w:rPr>
          <w:t>June 18,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(Accession No. 0001628280-25-</w:t>
      </w:r>
      <w:hyperlink r:id="rId14">
        <w:r>
          <w:rPr>
            <w:rFonts w:ascii="Times New Roman" w:cs="Times New Roman" w:eastAsia="Times New Roman" w:hAnsi="Times New Roman"/>
            <w:sz w:val="18"/>
            <w:szCs w:val="18"/>
            <w:color w:val="auto"/>
          </w:rPr>
          <w:t xml:space="preserve">032019), </w:t>
        </w:r>
        <w:r>
          <w:rPr>
            <w:rFonts w:ascii="Times New Roman" w:cs="Times New Roman" w:eastAsia="Times New Roman" w:hAnsi="Times New Roman"/>
            <w:sz w:val="18"/>
            <w:szCs w:val="18"/>
            <w:u w:val="single" w:color="auto"/>
            <w:color w:val="0000FF"/>
          </w:rPr>
          <w:t>July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July 18,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August 1, 2025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August 22, 2025</w:t>
        </w:r>
        <w:r>
          <w:rPr>
            <w:rFonts w:ascii="Times New Roman" w:cs="Times New Roman" w:eastAsia="Times New Roman" w:hAnsi="Times New Roman"/>
            <w:sz w:val="18"/>
            <w:szCs w:val="18"/>
            <w:color w:val="auto"/>
          </w:rPr>
          <w:t xml:space="preserve">, and Form 6-K/A on </w:t>
        </w:r>
        <w:r>
          <w:rPr>
            <w:rFonts w:ascii="Times New Roman" w:cs="Times New Roman" w:eastAsia="Times New Roman" w:hAnsi="Times New Roman"/>
            <w:sz w:val="18"/>
            <w:szCs w:val="18"/>
            <w:u w:val="single" w:color="auto"/>
            <w:color w:val="0000FF"/>
          </w:rPr>
          <w:t>June 12,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August 7, 2025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August 22,</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w:t>
        </w:r>
      </w:hyperlink>
    </w:p>
    <w:p>
      <w:pPr>
        <w:spacing w:after="0" w:line="169" w:lineRule="exact"/>
        <w:rPr>
          <w:rFonts w:ascii="Times New Roman" w:cs="Times New Roman" w:eastAsia="Times New Roman" w:hAnsi="Times New Roman"/>
          <w:sz w:val="18"/>
          <w:szCs w:val="18"/>
          <w:color w:val="0000FF"/>
        </w:rPr>
      </w:pPr>
    </w:p>
    <w:p>
      <w:pPr>
        <w:ind w:left="360" w:right="200" w:hanging="334"/>
        <w:spacing w:after="0" w:line="329" w:lineRule="auto"/>
        <w:tabs>
          <w:tab w:leader="none" w:pos="3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ordinary shares and warrants to purchase Class A ordinary shares contained in our registration statement on Form 8-A filed with the SEC on </w:t>
      </w:r>
      <w:hyperlink r:id="rId15">
        <w:r>
          <w:rPr>
            <w:rFonts w:ascii="Times New Roman" w:cs="Times New Roman" w:eastAsia="Times New Roman" w:hAnsi="Times New Roman"/>
            <w:sz w:val="18"/>
            <w:szCs w:val="18"/>
            <w:u w:val="single" w:color="auto"/>
            <w:color w:val="0000FF"/>
          </w:rPr>
          <w:t>May 17, 2022</w:t>
        </w:r>
      </w:hyperlink>
      <w:r>
        <w:rPr>
          <w:rFonts w:ascii="Times New Roman" w:cs="Times New Roman" w:eastAsia="Times New Roman" w:hAnsi="Times New Roman"/>
          <w:sz w:val="18"/>
          <w:szCs w:val="18"/>
          <w:color w:val="auto"/>
        </w:rPr>
        <w:t>, and any amendment or report filed for the purpose of updating such description;</w:t>
      </w:r>
    </w:p>
    <w:p>
      <w:pPr>
        <w:spacing w:after="0" w:line="188" w:lineRule="exact"/>
        <w:rPr>
          <w:rFonts w:ascii="Times New Roman" w:cs="Times New Roman" w:eastAsia="Times New Roman" w:hAnsi="Times New Roman"/>
          <w:sz w:val="18"/>
          <w:szCs w:val="18"/>
          <w:color w:val="auto"/>
        </w:rPr>
      </w:pPr>
    </w:p>
    <w:p>
      <w:pPr>
        <w:ind w:left="360" w:right="80" w:hanging="334"/>
        <w:spacing w:after="0" w:line="275" w:lineRule="auto"/>
        <w:tabs>
          <w:tab w:leader="none" w:pos="35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242" w:lineRule="exact"/>
        <w:rPr>
          <w:rFonts w:ascii="Times New Roman" w:cs="Times New Roman" w:eastAsia="Times New Roman" w:hAnsi="Times New Roman"/>
          <w:sz w:val="22"/>
          <w:szCs w:val="22"/>
          <w:color w:val="auto"/>
        </w:rPr>
      </w:pPr>
    </w:p>
    <w:p>
      <w:pPr>
        <w:ind w:left="360" w:right="140" w:hanging="334"/>
        <w:spacing w:after="0" w:line="275" w:lineRule="auto"/>
        <w:tabs>
          <w:tab w:leader="none" w:pos="35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future reports on Form 6-K that we furnish to the SEC after the date of this prospectus that are identified in such reports as being incorporated by reference in this prospectus.</w:t>
      </w:r>
    </w:p>
    <w:p>
      <w:pPr>
        <w:spacing w:after="0" w:line="202" w:lineRule="exact"/>
        <w:rPr>
          <w:rFonts w:ascii="Times New Roman" w:cs="Times New Roman" w:eastAsia="Times New Roman" w:hAnsi="Times New Roman"/>
          <w:sz w:val="18"/>
          <w:szCs w:val="18"/>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90" w:lineRule="exact"/>
        <w:rPr>
          <w:rFonts w:ascii="Times New Roman" w:cs="Times New Roman" w:eastAsia="Times New Roman" w:hAnsi="Times New Roman"/>
          <w:sz w:val="18"/>
          <w:szCs w:val="18"/>
          <w:color w:val="auto"/>
        </w:rPr>
      </w:pPr>
    </w:p>
    <w:p>
      <w:pPr>
        <w:ind w:right="220"/>
        <w:spacing w:after="0" w:line="302"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73" w:lineRule="exact"/>
        <w:rPr>
          <w:rFonts w:ascii="Times New Roman" w:cs="Times New Roman" w:eastAsia="Times New Roman" w:hAnsi="Times New Roman"/>
          <w:sz w:val="18"/>
          <w:szCs w:val="18"/>
          <w:color w:val="auto"/>
        </w:rPr>
      </w:pPr>
    </w:p>
    <w:p>
      <w:pPr>
        <w:ind w:left="4720"/>
        <w:spacing w:after="0"/>
        <w:rPr>
          <w:sz w:val="20"/>
          <w:szCs w:val="20"/>
          <w:color w:val="auto"/>
        </w:rPr>
      </w:pPr>
      <w:r>
        <w:rPr>
          <w:rFonts w:ascii="Times New Roman" w:cs="Times New Roman" w:eastAsia="Times New Roman" w:hAnsi="Times New Roman"/>
          <w:sz w:val="18"/>
          <w:szCs w:val="18"/>
          <w:color w:val="auto"/>
        </w:rPr>
        <w:t>Prenetics Global Limited</w:t>
      </w:r>
    </w:p>
    <w:p>
      <w:pPr>
        <w:spacing w:after="0" w:line="50" w:lineRule="exact"/>
        <w:rPr>
          <w:rFonts w:ascii="Times New Roman" w:cs="Times New Roman" w:eastAsia="Times New Roman" w:hAnsi="Times New Roman"/>
          <w:sz w:val="18"/>
          <w:szCs w:val="18"/>
          <w:color w:val="auto"/>
        </w:rPr>
      </w:pPr>
    </w:p>
    <w:p>
      <w:pPr>
        <w:ind w:left="4680"/>
        <w:spacing w:after="0"/>
        <w:rPr>
          <w:sz w:val="20"/>
          <w:szCs w:val="20"/>
          <w:color w:val="auto"/>
        </w:rPr>
      </w:pPr>
      <w:r>
        <w:rPr>
          <w:rFonts w:ascii="Times New Roman" w:cs="Times New Roman" w:eastAsia="Times New Roman" w:hAnsi="Times New Roman"/>
          <w:sz w:val="18"/>
          <w:szCs w:val="18"/>
          <w:color w:val="auto"/>
        </w:rPr>
        <w:t>Unit 703-706, K11 Atelier</w:t>
      </w:r>
    </w:p>
    <w:p>
      <w:pPr>
        <w:spacing w:after="0" w:line="36" w:lineRule="exact"/>
        <w:rPr>
          <w:rFonts w:ascii="Times New Roman" w:cs="Times New Roman" w:eastAsia="Times New Roman" w:hAnsi="Times New Roman"/>
          <w:sz w:val="18"/>
          <w:szCs w:val="18"/>
          <w:color w:val="auto"/>
        </w:rPr>
      </w:pPr>
    </w:p>
    <w:p>
      <w:pPr>
        <w:ind w:left="4540"/>
        <w:spacing w:after="0"/>
        <w:rPr>
          <w:sz w:val="20"/>
          <w:szCs w:val="20"/>
          <w:color w:val="auto"/>
        </w:rPr>
      </w:pPr>
      <w:r>
        <w:rPr>
          <w:rFonts w:ascii="Times New Roman" w:cs="Times New Roman" w:eastAsia="Times New Roman" w:hAnsi="Times New Roman"/>
          <w:sz w:val="18"/>
          <w:szCs w:val="18"/>
          <w:color w:val="auto"/>
        </w:rPr>
        <w:t>728 King’s Road, Hong Kong</w:t>
      </w:r>
    </w:p>
    <w:p>
      <w:pPr>
        <w:spacing w:after="0" w:line="50" w:lineRule="exact"/>
        <w:rPr>
          <w:rFonts w:ascii="Times New Roman" w:cs="Times New Roman" w:eastAsia="Times New Roman" w:hAnsi="Times New Roman"/>
          <w:sz w:val="18"/>
          <w:szCs w:val="18"/>
          <w:color w:val="auto"/>
        </w:rPr>
      </w:pPr>
    </w:p>
    <w:p>
      <w:pPr>
        <w:ind w:left="4920"/>
        <w:spacing w:after="0"/>
        <w:rPr>
          <w:sz w:val="20"/>
          <w:szCs w:val="20"/>
          <w:color w:val="auto"/>
        </w:rPr>
      </w:pPr>
      <w:r>
        <w:rPr>
          <w:rFonts w:ascii="Times New Roman" w:cs="Times New Roman" w:eastAsia="Times New Roman" w:hAnsi="Times New Roman"/>
          <w:sz w:val="18"/>
          <w:szCs w:val="18"/>
          <w:color w:val="auto"/>
        </w:rPr>
        <w:t>Tel: 852-2210 9588</w:t>
      </w:r>
    </w:p>
    <w:p>
      <w:pPr>
        <w:spacing w:after="0" w:line="3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31" w:right="339" w:bottom="1440" w:gutter="0" w:footer="0" w:header="0"/>
        </w:sectPr>
      </w:pPr>
    </w:p>
    <w:bookmarkStart w:id="11" w:name="page12"/>
    <w:bookmarkEnd w:id="11"/>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70"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auto"/>
        </w:rPr>
        <w:t>This prospectus and any prospectus supplement include statements that express our opinions, expectations, beliefs, plans, objectives, assumptions or projections regarding future events or future results of operations or financial condition and therefore are, or may be deemed to be, “forward-looking statements.” These forward-looking statements are made under the “safe harbor” provisions of the U.S. Private Securities Litigation Reform Act of 1995. These forward-looking statements can generally be identified by the use of forward-looking terminology, including the terms “believe,” “estimate,” “anticipate,” “expect,” “seek,” “project,” “intend,” “plan,” “may,” “will” or “should” or, in each case, their negative or other variations or comparable terminology. These forward-looking statements include all matters that are not historical facts. They appear in a number of places throughout this prospectus and include statements regarding our intentions, beliefs or current expectations concerning, among other things, our results of operations, financial condition, liquidity, prospects, growth, strategies, future market conditions or economic performance and developments in the capital and credit markets and expected future financial performance, the markets in which we operate, as well as the possible or assumed future results of operations of our Company. Such forward-looking statements are based on available current market material and management’s expectations, beliefs and forecasts concerning future events impacting us. Factors that may impact such forward-looking statements include:</w:t>
      </w:r>
    </w:p>
    <w:p>
      <w:pPr>
        <w:spacing w:after="0" w:line="186" w:lineRule="exact"/>
        <w:rPr>
          <w:sz w:val="20"/>
          <w:szCs w:val="20"/>
          <w:color w:val="auto"/>
        </w:rPr>
      </w:pPr>
    </w:p>
    <w:p>
      <w:pPr>
        <w:ind w:left="340" w:hanging="315"/>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and changes in laws, regulations or policies in the jurisdictions in which we operate;</w:t>
      </w:r>
    </w:p>
    <w:p>
      <w:pPr>
        <w:spacing w:after="0" w:line="265" w:lineRule="exact"/>
        <w:rPr>
          <w:rFonts w:ascii="Times New Roman" w:cs="Times New Roman" w:eastAsia="Times New Roman" w:hAnsi="Times New Roman"/>
          <w:sz w:val="18"/>
          <w:szCs w:val="18"/>
          <w:color w:val="auto"/>
        </w:rPr>
      </w:pPr>
    </w:p>
    <w:p>
      <w:pPr>
        <w:ind w:left="340" w:hanging="315"/>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in highly competitive industries and markets;</w:t>
      </w:r>
    </w:p>
    <w:p>
      <w:pPr>
        <w:spacing w:after="0" w:line="252" w:lineRule="exact"/>
        <w:rPr>
          <w:rFonts w:ascii="Times New Roman" w:cs="Times New Roman" w:eastAsia="Times New Roman" w:hAnsi="Times New Roman"/>
          <w:sz w:val="18"/>
          <w:szCs w:val="18"/>
          <w:color w:val="auto"/>
        </w:rPr>
      </w:pPr>
    </w:p>
    <w:p>
      <w:pPr>
        <w:ind w:left="340" w:hanging="315"/>
        <w:spacing w:after="0"/>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adjust our offerings to meet market demand, attract customers to choose our products and services and grow our ecosystem;</w:t>
      </w:r>
    </w:p>
    <w:p>
      <w:pPr>
        <w:spacing w:after="0" w:line="277" w:lineRule="exact"/>
        <w:rPr>
          <w:rFonts w:ascii="Times New Roman" w:cs="Times New Roman" w:eastAsia="Times New Roman" w:hAnsi="Times New Roman"/>
          <w:sz w:val="17"/>
          <w:szCs w:val="17"/>
          <w:color w:val="auto"/>
        </w:rPr>
      </w:pPr>
    </w:p>
    <w:p>
      <w:pPr>
        <w:ind w:left="340" w:hanging="315"/>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in the jurisdictions in which we operate;</w:t>
      </w:r>
    </w:p>
    <w:p>
      <w:pPr>
        <w:spacing w:after="0" w:line="265" w:lineRule="exact"/>
        <w:rPr>
          <w:rFonts w:ascii="Times New Roman" w:cs="Times New Roman" w:eastAsia="Times New Roman" w:hAnsi="Times New Roman"/>
          <w:sz w:val="18"/>
          <w:szCs w:val="18"/>
          <w:color w:val="auto"/>
        </w:rPr>
      </w:pPr>
    </w:p>
    <w:p>
      <w:pPr>
        <w:ind w:left="340" w:hanging="315"/>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economic environment and general market and economic conditions in the jurisdictions in which we operate;</w:t>
      </w:r>
    </w:p>
    <w:p>
      <w:pPr>
        <w:spacing w:after="0" w:line="252" w:lineRule="exact"/>
        <w:rPr>
          <w:rFonts w:ascii="Times New Roman" w:cs="Times New Roman" w:eastAsia="Times New Roman" w:hAnsi="Times New Roman"/>
          <w:sz w:val="18"/>
          <w:szCs w:val="18"/>
          <w:color w:val="auto"/>
        </w:rPr>
      </w:pPr>
    </w:p>
    <w:p>
      <w:pPr>
        <w:ind w:left="340" w:right="340" w:hanging="315"/>
        <w:spacing w:after="0" w:line="32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raise funds to invest in Bitcoin assets and create a Bitcoin treasury and accept cryptocurrency payments across both of our direct-to-consumer platforms;</w:t>
      </w:r>
    </w:p>
    <w:p>
      <w:pPr>
        <w:spacing w:after="0" w:line="148" w:lineRule="exact"/>
        <w:rPr>
          <w:rFonts w:ascii="Times New Roman" w:cs="Times New Roman" w:eastAsia="Times New Roman" w:hAnsi="Times New Roman"/>
          <w:sz w:val="18"/>
          <w:szCs w:val="18"/>
          <w:color w:val="auto"/>
        </w:rPr>
      </w:pPr>
    </w:p>
    <w:p>
      <w:pPr>
        <w:ind w:left="340" w:hanging="315"/>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strategies, manage growth and maintain our corporate culture as we grow;</w:t>
      </w:r>
    </w:p>
    <w:p>
      <w:pPr>
        <w:spacing w:after="0" w:line="265" w:lineRule="exact"/>
        <w:rPr>
          <w:rFonts w:ascii="Times New Roman" w:cs="Times New Roman" w:eastAsia="Times New Roman" w:hAnsi="Times New Roman"/>
          <w:sz w:val="18"/>
          <w:szCs w:val="18"/>
          <w:color w:val="auto"/>
        </w:rPr>
      </w:pPr>
    </w:p>
    <w:p>
      <w:pPr>
        <w:ind w:left="340" w:right="300" w:hanging="315"/>
        <w:spacing w:after="0" w:line="31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investments in new products, services, collaboration arrangements, technologies and strategic acquisitions, and the effect of these investments on our results of operations;</w:t>
      </w:r>
    </w:p>
    <w:p>
      <w:pPr>
        <w:spacing w:after="0" w:line="175" w:lineRule="exact"/>
        <w:rPr>
          <w:rFonts w:ascii="Times New Roman" w:cs="Times New Roman" w:eastAsia="Times New Roman" w:hAnsi="Times New Roman"/>
          <w:sz w:val="18"/>
          <w:szCs w:val="18"/>
          <w:color w:val="auto"/>
        </w:rPr>
      </w:pPr>
    </w:p>
    <w:p>
      <w:pPr>
        <w:ind w:left="340" w:hanging="315"/>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protect intellectual property;</w:t>
      </w:r>
    </w:p>
    <w:p>
      <w:pPr>
        <w:spacing w:after="0" w:line="252" w:lineRule="exact"/>
        <w:rPr>
          <w:rFonts w:ascii="Times New Roman" w:cs="Times New Roman" w:eastAsia="Times New Roman" w:hAnsi="Times New Roman"/>
          <w:sz w:val="18"/>
          <w:szCs w:val="18"/>
          <w:color w:val="auto"/>
        </w:rPr>
      </w:pPr>
    </w:p>
    <w:p>
      <w:pPr>
        <w:ind w:left="340" w:hanging="315"/>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need for capital and the availability of financing and capital to fund these needs;</w:t>
      </w:r>
    </w:p>
    <w:p>
      <w:pPr>
        <w:spacing w:after="0" w:line="265" w:lineRule="exact"/>
        <w:rPr>
          <w:rFonts w:ascii="Times New Roman" w:cs="Times New Roman" w:eastAsia="Times New Roman" w:hAnsi="Times New Roman"/>
          <w:sz w:val="18"/>
          <w:szCs w:val="18"/>
          <w:color w:val="auto"/>
        </w:rPr>
      </w:pPr>
    </w:p>
    <w:p>
      <w:pPr>
        <w:ind w:left="340" w:hanging="315"/>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technology trends and developments and our ability to address those trends and developments with our products and services;</w:t>
      </w:r>
    </w:p>
    <w:p>
      <w:pPr>
        <w:spacing w:after="0" w:line="252" w:lineRule="exact"/>
        <w:rPr>
          <w:rFonts w:ascii="Times New Roman" w:cs="Times New Roman" w:eastAsia="Times New Roman" w:hAnsi="Times New Roman"/>
          <w:sz w:val="18"/>
          <w:szCs w:val="18"/>
          <w:color w:val="auto"/>
        </w:rPr>
      </w:pPr>
    </w:p>
    <w:p>
      <w:pPr>
        <w:ind w:left="340" w:hanging="315"/>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affordability, convenience and breadth of our products and services;</w:t>
      </w:r>
    </w:p>
    <w:p>
      <w:pPr>
        <w:spacing w:after="0" w:line="265" w:lineRule="exact"/>
        <w:rPr>
          <w:rFonts w:ascii="Times New Roman" w:cs="Times New Roman" w:eastAsia="Times New Roman" w:hAnsi="Times New Roman"/>
          <w:sz w:val="18"/>
          <w:szCs w:val="18"/>
          <w:color w:val="auto"/>
        </w:rPr>
      </w:pPr>
    </w:p>
    <w:p>
      <w:pPr>
        <w:ind w:left="340" w:right="240" w:hanging="315"/>
        <w:spacing w:after="0" w:line="31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Man-made or natural disasters, health epidemics, and other outbreaks including war, acts of international or domestic terrorism, civil disturbances, occurrences of catastrophic events and acts of God such as floods,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1440" w:right="45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color w:val="auto"/>
        </w:rPr>
        <w:t>earthquakes, wildfires, typhoons and other adverse weather and natural conditions that may directly or indirectly affect our business or assets;</w:t>
      </w:r>
    </w:p>
    <w:p>
      <w:pPr>
        <w:spacing w:after="0" w:line="266" w:lineRule="exact"/>
        <w:rPr>
          <w:sz w:val="20"/>
          <w:szCs w:val="20"/>
          <w:color w:val="auto"/>
        </w:rPr>
      </w:pPr>
    </w:p>
    <w:p>
      <w:pPr>
        <w:ind w:left="340" w:hanging="315"/>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and the inability to replace such personnel on a timely basis or on acceptable terms;</w:t>
      </w:r>
    </w:p>
    <w:p>
      <w:pPr>
        <w:spacing w:after="0" w:line="252" w:lineRule="exact"/>
        <w:rPr>
          <w:rFonts w:ascii="Times New Roman" w:cs="Times New Roman" w:eastAsia="Times New Roman" w:hAnsi="Times New Roman"/>
          <w:sz w:val="18"/>
          <w:szCs w:val="18"/>
          <w:color w:val="auto"/>
        </w:rPr>
      </w:pPr>
    </w:p>
    <w:p>
      <w:pPr>
        <w:ind w:left="340" w:hanging="315"/>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265" w:lineRule="exact"/>
        <w:rPr>
          <w:rFonts w:ascii="Times New Roman" w:cs="Times New Roman" w:eastAsia="Times New Roman" w:hAnsi="Times New Roman"/>
          <w:sz w:val="18"/>
          <w:szCs w:val="18"/>
          <w:color w:val="auto"/>
        </w:rPr>
      </w:pPr>
    </w:p>
    <w:p>
      <w:pPr>
        <w:ind w:left="340" w:hanging="315"/>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or rates of inflation;</w:t>
      </w:r>
    </w:p>
    <w:p>
      <w:pPr>
        <w:spacing w:after="0" w:line="252" w:lineRule="exact"/>
        <w:rPr>
          <w:rFonts w:ascii="Times New Roman" w:cs="Times New Roman" w:eastAsia="Times New Roman" w:hAnsi="Times New Roman"/>
          <w:sz w:val="18"/>
          <w:szCs w:val="18"/>
          <w:color w:val="auto"/>
        </w:rPr>
      </w:pPr>
    </w:p>
    <w:p>
      <w:pPr>
        <w:ind w:left="340" w:hanging="315"/>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and other proceedings;</w:t>
      </w:r>
    </w:p>
    <w:p>
      <w:pPr>
        <w:spacing w:after="0" w:line="265" w:lineRule="exact"/>
        <w:rPr>
          <w:rFonts w:ascii="Times New Roman" w:cs="Times New Roman" w:eastAsia="Times New Roman" w:hAnsi="Times New Roman"/>
          <w:sz w:val="18"/>
          <w:szCs w:val="18"/>
          <w:color w:val="auto"/>
        </w:rPr>
      </w:pPr>
    </w:p>
    <w:p>
      <w:pPr>
        <w:ind w:left="340" w:hanging="315"/>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NASDAQ;</w:t>
      </w:r>
    </w:p>
    <w:p>
      <w:pPr>
        <w:spacing w:after="0" w:line="252" w:lineRule="exact"/>
        <w:rPr>
          <w:rFonts w:ascii="Times New Roman" w:cs="Times New Roman" w:eastAsia="Times New Roman" w:hAnsi="Times New Roman"/>
          <w:sz w:val="18"/>
          <w:szCs w:val="18"/>
          <w:color w:val="auto"/>
        </w:rPr>
      </w:pPr>
    </w:p>
    <w:p>
      <w:pPr>
        <w:ind w:left="340" w:hanging="315"/>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increase the authorized capital stock; and</w:t>
      </w:r>
    </w:p>
    <w:p>
      <w:pPr>
        <w:spacing w:after="0" w:line="265" w:lineRule="exact"/>
        <w:rPr>
          <w:rFonts w:ascii="Times New Roman" w:cs="Times New Roman" w:eastAsia="Times New Roman" w:hAnsi="Times New Roman"/>
          <w:sz w:val="18"/>
          <w:szCs w:val="18"/>
          <w:color w:val="auto"/>
        </w:rPr>
      </w:pPr>
    </w:p>
    <w:p>
      <w:pPr>
        <w:ind w:left="340" w:hanging="315"/>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any future financing efforts.</w:t>
      </w:r>
    </w:p>
    <w:p>
      <w:pPr>
        <w:spacing w:after="0" w:line="25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the assumptions prove incorrect, actual results may vary in material respects from those projected in these forward-looking statements. We do not undertake any obligation to update or revise any forward-looking statements, whether as a result of new information, future events or otherwise, except as may be required under applicable securities laws. In light of these risks and uncertainties, you should keep in mind that any event described in a forward-looking statement made in this prospectus or elsewhere might not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431" w:right="37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8353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extLst>
                    </a:blip>
                    <a:srcRect/>
                    <a:stretch>
                      <a:fillRect/>
                    </a:stretch>
                  </pic:blipFill>
                  <pic:spPr bwMode="auto">
                    <a:xfrm>
                      <a:off x="0" y="0"/>
                      <a:ext cx="7136130" cy="835342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 xml:space="preserve">The following summary highlights selected information contained elsewhere in this prospectus and in the documents incorporated by reference in this prospectus, and does not contain all of the information that you need to consider in making your investment decision. We urge you to read this entire prospectus, including the more detailed consolidated financial statements, notes to the consolidated financial statements and other information incorporated by reference from our other filings with the SEC. Investing in our securities involves substantial risks. Therefore, carefully consider the risk factors set forth in this prospectus and in our most recent filings with the SEC including our annual report and reports on Form 6-K, as well as other information in this prospectus and any prospectus supplements and the documents incorporated by reference herein or therein, before purchasing our securities. Each of the risk factors </w:t>
      </w:r>
      <w:r>
        <w:rPr>
          <w:rFonts w:ascii="Times New Roman" w:cs="Times New Roman" w:eastAsia="Times New Roman" w:hAnsi="Times New Roman"/>
          <w:sz w:val="18"/>
          <w:szCs w:val="18"/>
          <w:i w:val="1"/>
          <w:iCs w:val="1"/>
          <w:color w:val="auto"/>
        </w:rPr>
        <w:t>could adversely affect our business, operating results and financial condition, as well as adversely affect the value of an</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i w:val="1"/>
          <w:iCs w:val="1"/>
          <w:color w:val="auto"/>
        </w:rPr>
        <w:t>investment in our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auto"/>
        </w:rPr>
        <w:t>Founded in 2014 by serial entrepreneur Danny Yeung, Prenetics has evolved from a clinical life sciences company into a leading global consumer health company focused on longevity and preventive wellness solutions. Our strategic transformation was driven by the recognition of significant market opportunities in consumer health, where we could leverage our deep scientific expertise to address major gaps in the market and deliver science-backed solutions directly to consumers seeking to optimize their health and extend their lifespan. During the COVID-19 pandemic from 2020 to 2023, we demonstrated our operational excellence and ability to scale rapidly, becoming one of the largest diagnostic testing companies globally, which provided valuable experience in managing high-volume operations and complex logistics that now underpins our current growth trajectory.</w:t>
      </w:r>
    </w:p>
    <w:p>
      <w:pPr>
        <w:spacing w:after="0" w:line="196"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Our mission is to empower individuals to take control of their health through innovative, scientifically-validated consumer health products and services that promote longevity and overall well-being. We have strategically positioned ourselves at the intersection of consumer healthcare, longevity science, and digital asset innovation, recognizing that the future of health and wealth preservation are increasingly interconnected.</w:t>
      </w:r>
    </w:p>
    <w:p>
      <w:pPr>
        <w:spacing w:after="0" w:line="190"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auto"/>
        </w:rPr>
        <w:t>Our business is organized under our Consumer Health segment, operated through dedicated business units that leverage our scientific foundation and market expertise. Previously organized across Prevention and Consumer Health segments, we have consolidated our operations to better reflect our unified focus on consumer-driven health and longevity solutions. In addition, we hold a significant minority interest in Insighta, an early cancer detection company developing a non-invasive, multi-cancer screening platform. As part of our forward-looking strategy, we have announced our intention to establish a substantial Bitcoin treasury position, recognizing Bitcoin as a superior store of value and hedge against currency debasement, while exploring innovative applications of digital assets within our healthcare ecosystem.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Health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IM8 Health</w:t>
      </w:r>
    </w:p>
    <w:p>
      <w:pPr>
        <w:spacing w:after="0" w:line="270"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8"/>
          <w:szCs w:val="18"/>
          <w:color w:val="auto"/>
        </w:rPr>
        <w:t>IM8 Health represents our premium health and wellness brand, co-founded with global icon David Beckham, offering scientifically formulated premium supplements designed to enhance longevity, performance, and overall well-being. The brand has further strengthened its global appeal with the addition of world #1 female tennis player, Aryna Sabalenka as a global ambassador and shareholder. Launched in December 2024, IM8 has achieved significant growth in the highly competitive supplements market, becoming one of the fastest growing supplement brands in the world. In just six months, IM8 has garnered more than 60,000 customers across 31 countries globally (excluding China), delivered more than 6 million servings of its flagship Daily Ultimate Essentials product, and is already operating at a run-rate of more than $60 million ARR (annual recurring revenue) with a target of exceeding $100 million ARR by the end of the year. This exceptional growth trajectory in such a short timeframe is notable in the supplements industry and demonstrates the powerful combination of</w:t>
      </w:r>
    </w:p>
    <w:p>
      <w:pPr>
        <w:sectPr>
          <w:pgSz w:w="11900" w:h="16838" w:orient="portrait"/>
          <w:cols w:equalWidth="0" w:num="1">
            <w:col w:w="9660"/>
          </w:cols>
          <w:pgMar w:left="1080" w:top="1440" w:right="1159" w:bottom="4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660"/>
          </w:cols>
          <w:pgMar w:left="1080" w:top="1440" w:right="1159" w:bottom="457"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8036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extLst>
                    </a:blip>
                    <a:srcRect/>
                    <a:stretch>
                      <a:fillRect/>
                    </a:stretch>
                  </pic:blipFill>
                  <pic:spPr bwMode="auto">
                    <a:xfrm>
                      <a:off x="0" y="0"/>
                      <a:ext cx="7136130" cy="803656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100"/>
        <w:spacing w:after="0" w:line="329" w:lineRule="auto"/>
        <w:rPr>
          <w:sz w:val="20"/>
          <w:szCs w:val="20"/>
          <w:color w:val="auto"/>
        </w:rPr>
      </w:pPr>
      <w:r>
        <w:rPr>
          <w:rFonts w:ascii="Times New Roman" w:cs="Times New Roman" w:eastAsia="Times New Roman" w:hAnsi="Times New Roman"/>
          <w:sz w:val="18"/>
          <w:szCs w:val="18"/>
          <w:color w:val="auto"/>
        </w:rPr>
        <w:t>our scientific expertise, premium positioning, strategic partnerships with world-class athletes and co-founding partnership with David Beckham.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Europa Sports Partners</w:t>
      </w:r>
    </w:p>
    <w:p>
      <w:pPr>
        <w:spacing w:after="0" w:line="270"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8"/>
          <w:szCs w:val="18"/>
          <w:color w:val="auto"/>
        </w:rPr>
        <w:t>Europa Sports Partners, acquired in May 2024, serves as one of the largest sports nutrition distributors in the United States, strengthening IM8's supply chain, distribution capabilities, and retail partnerships. This acquisition provides a scalable platform for expanding IM8's reach across North America and beyond, while establishing our U.S. headquarters in Charlotte, North Carolina, which serves as our base of operations for North American growth initiatives.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CircleDNA</w:t>
      </w:r>
    </w:p>
    <w:p>
      <w:pPr>
        <w:spacing w:after="0" w:line="256"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CircleDNA is our consumer genetic testing brand, leveraging next-generation sequencing (NGS) technology to provide comprehensive insights into health, wellness, and genetic predispositions related to longevity and disease prevention. CircleDNA's proprietary genomic database represents a valuable digital asset with significant potential for integration with blockchain technology and digital asset ecosystems, enabling secure, user-controlled genomic data ownership and potential applications in decentralized health and longevity platforms.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 Genomics Divestment</w:t>
      </w:r>
    </w:p>
    <w:p>
      <w:pPr>
        <w:spacing w:after="0" w:line="25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On June 18, 2025, we announced the divestment of ACT Genomics Holdings Company Limited (“ACT Genomics”) to Delta Electronics, Inc for gross proceeds of approximately $46 million. The divestment of ACT Genomics marked the successful completion of our strategic transformation, addressing previous investor feedback regarding business complexity while positioning the Company for accelerated growth in the high-margin consumer health market. The transaction enables us to simplify our investment thesis, enhance financial flexibility, accelerate growth focus, and optimize resource allocation. See the section of this prospectus entitled “Incorporation by Reference” for more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Investment – Insighta</w:t>
      </w:r>
    </w:p>
    <w:p>
      <w:pPr>
        <w:spacing w:after="0" w:line="256"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8"/>
          <w:szCs w:val="18"/>
          <w:color w:val="auto"/>
        </w:rPr>
        <w:t>We hold a significant 35% stake in Insighta, an innovative early cancer detection company developing a breakthrough non-invasive, multi-cancer screening platform. Insighta has attracted substantial investment from Tencent, one of the world's leading technology conglomerates, validating the company's cutting-edge approach to cancer detection and its commercial potential. Our investment in Insighta, valued at US$70 million based on the valuation of Tencent’s 15% investment in Insighta in October 2024, represents a strategic asset that complements our consumer health portfolio while positioning us at the forefront of preventive healthcare innovation. This investment underscores our commitment to advancing early detection technologies that can significantly improve health outcomes and demonstrates our ability to identify and invest in transformational healthcare technologies with substantial value creation potential.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 Treasury Strategy</w:t>
      </w:r>
    </w:p>
    <w:p>
      <w:pPr>
        <w:spacing w:after="0" w:line="270"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Our Bitcoin treasury strategy reflects our belief that the convergence of healthcare innovation and digital asset adoption represents a transformational opportunity. We view Bitcoin as both a treasury asset that preserves and grows shareholder value over time, and as a foundation for exploring innovative applications within our healthcare ecosystem. This includes potential integration of Bitcoin and blockchain technologies with our genomic data platforms, loyalty programs, and direct-to-consumer health services, positioning us at the forefront of the emerging digital health economy.</w:t>
      </w:r>
    </w:p>
    <w:p>
      <w:pPr>
        <w:sectPr>
          <w:pgSz w:w="11900" w:h="16838" w:orient="portrait"/>
          <w:cols w:equalWidth="0" w:num="1">
            <w:col w:w="9720"/>
          </w:cols>
          <w:pgMar w:left="1080" w:top="1440" w:right="1099"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20"/>
          </w:cols>
          <w:pgMar w:left="1080" w:top="1440" w:right="1099" w:bottom="97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8310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7136130" cy="831088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8"/>
          <w:szCs w:val="18"/>
          <w:color w:val="auto"/>
        </w:rPr>
        <w:t>In June 2025, we announced Bitcoin as the driving force of our treasury and corporate strategy, subject to market conditions and the anticipated liquidity needs of the business. We may acquire Bitcoin using excess cash, proceeds from future equity or debt financings, or other capital sources. We also intend to explore further opportunistic financing alternatives, including the issuance of convertible notes, bonds, or other debt instruments, for the purpose of acquiring Bitcoin.</w:t>
      </w:r>
    </w:p>
    <w:p>
      <w:pPr>
        <w:spacing w:after="0" w:line="173" w:lineRule="exact"/>
        <w:rPr>
          <w:sz w:val="20"/>
          <w:szCs w:val="20"/>
          <w:color w:val="auto"/>
        </w:rPr>
      </w:pPr>
    </w:p>
    <w:p>
      <w:pPr>
        <w:ind w:right="280"/>
        <w:spacing w:after="0" w:line="329" w:lineRule="auto"/>
        <w:rPr>
          <w:sz w:val="20"/>
          <w:szCs w:val="20"/>
          <w:color w:val="auto"/>
        </w:rPr>
      </w:pPr>
      <w:r>
        <w:rPr>
          <w:rFonts w:ascii="Times New Roman" w:cs="Times New Roman" w:eastAsia="Times New Roman" w:hAnsi="Times New Roman"/>
          <w:sz w:val="18"/>
          <w:szCs w:val="18"/>
          <w:color w:val="auto"/>
        </w:rPr>
        <w:t>We have already begun executing on this strategy, completing a $20 million Bitcoin purchase of 187.42 BTC at an average price of $106,712 per Bitcoin in June 2025 via Kraken.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Bitcoin Custody and Security</w:t>
      </w:r>
    </w:p>
    <w:p>
      <w:pPr>
        <w:spacing w:after="0" w:line="268" w:lineRule="exact"/>
        <w:rPr>
          <w:sz w:val="20"/>
          <w:szCs w:val="20"/>
          <w:color w:val="auto"/>
        </w:rPr>
      </w:pPr>
    </w:p>
    <w:p>
      <w:pPr>
        <w:ind w:right="480"/>
        <w:spacing w:after="0" w:line="305" w:lineRule="auto"/>
        <w:rPr>
          <w:sz w:val="20"/>
          <w:szCs w:val="20"/>
          <w:color w:val="auto"/>
        </w:rPr>
      </w:pPr>
      <w:r>
        <w:rPr>
          <w:rFonts w:ascii="Times New Roman" w:cs="Times New Roman" w:eastAsia="Times New Roman" w:hAnsi="Times New Roman"/>
          <w:sz w:val="18"/>
          <w:szCs w:val="18"/>
          <w:color w:val="auto"/>
        </w:rPr>
        <w:t>We intend to utilize multiple digital asset custodians to store our Bitcoin holdings, such as Kraken, Anchorage Digital, Coinbase Custody, BitGo, Hex Trust, and Fidelity Digital Assets. Our custody strategy emphasizes security, regulatory compliance, and operational redundancy through diversified custody arrangements with established, regulated custodians.</w:t>
      </w:r>
    </w:p>
    <w:p>
      <w:pPr>
        <w:spacing w:after="0" w:line="165" w:lineRule="exact"/>
        <w:rPr>
          <w:sz w:val="20"/>
          <w:szCs w:val="20"/>
          <w:color w:val="auto"/>
        </w:rPr>
      </w:pP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Custody Selection Criteria</w:t>
      </w:r>
      <w:r>
        <w:rPr>
          <w:rFonts w:ascii="Times New Roman" w:cs="Times New Roman" w:eastAsia="Times New Roman" w:hAnsi="Times New Roman"/>
          <w:sz w:val="18"/>
          <w:szCs w:val="18"/>
          <w:color w:val="auto"/>
        </w:rPr>
        <w:t>: We evaluate custodians based on regulatory compliance, security infrastructure, insurance</w:t>
      </w:r>
    </w:p>
    <w:p>
      <w:pPr>
        <w:spacing w:after="0" w:line="53" w:lineRule="exact"/>
        <w:rPr>
          <w:rFonts w:ascii="Times New Roman" w:cs="Times New Roman" w:eastAsia="Times New Roman" w:hAnsi="Times New Roman"/>
          <w:sz w:val="18"/>
          <w:szCs w:val="18"/>
          <w:color w:val="auto"/>
        </w:rPr>
      </w:pPr>
    </w:p>
    <w:p>
      <w:pPr>
        <w:ind w:left="660" w:right="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operational track record, and financial stability. Our custodians are selected from among leading institutional-grade digital asset custody providers.</w:t>
      </w:r>
    </w:p>
    <w:p>
      <w:pPr>
        <w:spacing w:after="0" w:line="171" w:lineRule="exact"/>
        <w:rPr>
          <w:rFonts w:ascii="Times New Roman" w:cs="Times New Roman" w:eastAsia="Times New Roman" w:hAnsi="Times New Roman"/>
          <w:sz w:val="18"/>
          <w:szCs w:val="18"/>
          <w:color w:val="auto"/>
        </w:rPr>
      </w:pPr>
    </w:p>
    <w:p>
      <w:pPr>
        <w:ind w:left="660" w:right="40" w:hanging="332"/>
        <w:spacing w:after="0" w:line="30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Measures</w:t>
      </w:r>
      <w:r>
        <w:rPr>
          <w:rFonts w:ascii="Times New Roman" w:cs="Times New Roman" w:eastAsia="Times New Roman" w:hAnsi="Times New Roman"/>
          <w:sz w:val="18"/>
          <w:szCs w:val="18"/>
          <w:color w:val="auto"/>
        </w:rPr>
        <w:t>: Our custody arrangements incorporate multiple layers of security including cold storage, multi-signature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controls, segregated client assets, and comprehensive insurance coverage. We maintain operational procedures for custody management, including regular reconciliation and monitoring of our Bitcoin holdings.</w:t>
      </w:r>
    </w:p>
    <w:p>
      <w:pPr>
        <w:spacing w:after="0" w:line="164" w:lineRule="exact"/>
        <w:rPr>
          <w:rFonts w:ascii="Times New Roman" w:cs="Times New Roman" w:eastAsia="Times New Roman" w:hAnsi="Times New Roman"/>
          <w:sz w:val="18"/>
          <w:szCs w:val="18"/>
          <w:color w:val="auto"/>
        </w:rPr>
      </w:pPr>
    </w:p>
    <w:p>
      <w:pPr>
        <w:ind w:left="660" w:right="60" w:hanging="332"/>
        <w:spacing w:after="0" w:line="31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 Management</w:t>
      </w:r>
      <w:r>
        <w:rPr>
          <w:rFonts w:ascii="Times New Roman" w:cs="Times New Roman" w:eastAsia="Times New Roman" w:hAnsi="Times New Roman"/>
          <w:sz w:val="18"/>
          <w:szCs w:val="18"/>
          <w:color w:val="auto"/>
        </w:rPr>
        <w:t>: Our diversified custody approach is designed to mitigate counterparty risk, operational risk, and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risks associated with digital asset storage. We regularly review and assess our custody arrangements to ensure they meet our security and operational requirements.</w:t>
      </w:r>
    </w:p>
    <w:p>
      <w:pPr>
        <w:spacing w:after="0" w:line="161" w:lineRule="exact"/>
        <w:rPr>
          <w:sz w:val="20"/>
          <w:szCs w:val="20"/>
          <w:color w:val="auto"/>
        </w:rPr>
      </w:pPr>
    </w:p>
    <w:p>
      <w:pPr>
        <w:ind w:right="460"/>
        <w:spacing w:after="0" w:line="305" w:lineRule="auto"/>
        <w:rPr>
          <w:sz w:val="20"/>
          <w:szCs w:val="20"/>
          <w:color w:val="auto"/>
        </w:rPr>
      </w:pPr>
      <w:r>
        <w:rPr>
          <w:rFonts w:ascii="Times New Roman" w:cs="Times New Roman" w:eastAsia="Times New Roman" w:hAnsi="Times New Roman"/>
          <w:sz w:val="18"/>
          <w:szCs w:val="18"/>
          <w:color w:val="auto"/>
        </w:rPr>
        <w:t>As of June 30, 2025, our consolidated current assets (excluding ACT Genomics) were approximately $44 million, including approximately $17 million of cash and cash equivalents. Our consolidated current assets excludes the approximately $20 million Bitcoin holding of 187.4203 BTC, classified as non-current intangible assets as of June 30, 2025.</w:t>
      </w:r>
    </w:p>
    <w:p>
      <w:pPr>
        <w:spacing w:after="0" w:line="18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Our comprehensive long-term Bitcoin strategy, approved by our Board of Directors, includes board approval to allocate most of the company's cash and cash equivalents to Bitcoin, potentially implement alpha-generating strategies, and pursue institutional discussions for expanded Bitcoin acquisition. We plan to increase our Bitcoin holdings substantially and aim to become one of the largest healthcare corporate Bitcoin holders globally.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balance sheet allocation strategy will be implemented as follows:</w:t>
      </w:r>
    </w:p>
    <w:p>
      <w:pPr>
        <w:spacing w:after="0" w:line="248" w:lineRule="exact"/>
        <w:rPr>
          <w:sz w:val="20"/>
          <w:szCs w:val="20"/>
          <w:color w:val="auto"/>
        </w:rPr>
      </w:pPr>
    </w:p>
    <w:p>
      <w:pPr>
        <w:ind w:left="660" w:right="60" w:hanging="332"/>
        <w:spacing w:after="0" w:line="33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Implementation</w:t>
      </w:r>
      <w:r>
        <w:rPr>
          <w:rFonts w:ascii="Times New Roman" w:cs="Times New Roman" w:eastAsia="Times New Roman" w:hAnsi="Times New Roman"/>
          <w:sz w:val="18"/>
          <w:szCs w:val="18"/>
          <w:color w:val="auto"/>
        </w:rPr>
        <w:t>: We intend to allocate available cash (excluding operational requirements) to Bitcoin investments, targeting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initial allocation of approximately 80% of our available cash to Bitcoin holdings.</w:t>
      </w:r>
    </w:p>
    <w:p>
      <w:pPr>
        <w:spacing w:after="0" w:line="141"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Operational Cash Requirements</w:t>
      </w:r>
      <w:r>
        <w:rPr>
          <w:rFonts w:ascii="Times New Roman" w:cs="Times New Roman" w:eastAsia="Times New Roman" w:hAnsi="Times New Roman"/>
          <w:sz w:val="18"/>
          <w:szCs w:val="18"/>
          <w:color w:val="auto"/>
        </w:rPr>
        <w:t>: We will maintain sufficient cash reserves to fund our operations for at least 24 months,</w:t>
      </w:r>
    </w:p>
    <w:p>
      <w:pPr>
        <w:spacing w:after="0" w:line="53" w:lineRule="exact"/>
        <w:rPr>
          <w:rFonts w:ascii="Times New Roman" w:cs="Times New Roman" w:eastAsia="Times New Roman" w:hAnsi="Times New Roman"/>
          <w:sz w:val="18"/>
          <w:szCs w:val="18"/>
          <w:color w:val="auto"/>
        </w:rPr>
      </w:pPr>
    </w:p>
    <w:p>
      <w:pPr>
        <w:ind w:left="660" w:right="1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our Bitcoin treasury strategy does not compromise our ability to execute our core business strategy or meet our financial obligations.</w:t>
      </w:r>
    </w:p>
    <w:p>
      <w:pPr>
        <w:spacing w:after="0" w:line="171"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Dynamic Allocation</w:t>
      </w:r>
      <w:r>
        <w:rPr>
          <w:rFonts w:ascii="Times New Roman" w:cs="Times New Roman" w:eastAsia="Times New Roman" w:hAnsi="Times New Roman"/>
          <w:sz w:val="18"/>
          <w:szCs w:val="18"/>
          <w:color w:val="auto"/>
        </w:rPr>
        <w:t>: Our allocation percentages may be adjusted based on market conditions, business requirements,</w:t>
      </w:r>
    </w:p>
    <w:p>
      <w:pPr>
        <w:spacing w:after="0" w:line="53" w:lineRule="exact"/>
        <w:rPr>
          <w:rFonts w:ascii="Times New Roman" w:cs="Times New Roman" w:eastAsia="Times New Roman" w:hAnsi="Times New Roman"/>
          <w:sz w:val="18"/>
          <w:szCs w:val="18"/>
          <w:color w:val="auto"/>
        </w:rPr>
      </w:pPr>
    </w:p>
    <w:p>
      <w:pPr>
        <w:ind w:left="660" w:right="2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and board-approved investment policies. Any material changes to our allocation strategy will be disclosed in our periodic reports.</w:t>
      </w:r>
    </w:p>
    <w:p>
      <w:pPr>
        <w:sectPr>
          <w:pgSz w:w="11900" w:h="16838" w:orient="portrait"/>
          <w:cols w:equalWidth="0" w:num="1">
            <w:col w:w="9720"/>
          </w:cols>
          <w:pgMar w:left="1080" w:top="1440" w:right="1099" w:bottom="5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720"/>
          </w:cols>
          <w:pgMar w:left="1080" w:top="1440" w:right="1099" w:bottom="515"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8027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7136130" cy="802767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660" w:right="380" w:hanging="332"/>
        <w:spacing w:after="0" w:line="34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 Mana</w:t>
      </w:r>
      <w:r>
        <w:rPr>
          <w:rFonts w:ascii="Times New Roman" w:cs="Times New Roman" w:eastAsia="Times New Roman" w:hAnsi="Times New Roman"/>
          <w:sz w:val="19"/>
          <w:szCs w:val="19"/>
          <w:b w:val="1"/>
          <w:bCs w:val="1"/>
          <w:color w:val="auto"/>
        </w:rPr>
        <w:t>gement</w:t>
      </w:r>
      <w:r>
        <w:rPr>
          <w:rFonts w:ascii="Times New Roman" w:cs="Times New Roman" w:eastAsia="Times New Roman" w:hAnsi="Times New Roman"/>
          <w:sz w:val="18"/>
          <w:szCs w:val="18"/>
          <w:color w:val="auto"/>
        </w:rPr>
        <w:t>: Our allocation strategy incorporates risk management principles including gradual implementation,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diversified custody arrangements, and maintenance of adequate liquidity for operational needs.</w:t>
      </w:r>
    </w:p>
    <w:p>
      <w:pPr>
        <w:spacing w:after="0" w:line="133"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8"/>
          <w:szCs w:val="18"/>
          <w:color w:val="auto"/>
        </w:rPr>
        <w:t>Our Bitcoin initiative extends far beyond a simple treasury allocation, representing a comprehensive long-term digital asset strategy. Our immediate priority is establishing our core Bitcoin treasury position through direct Bitcoin acquisition and secure custody arrangements. Any exploration of additional strategies would occur only after successfully implementing our primary treasury strategy. We may in the future explore additional sophisticated alpha-generating strategies, including yield generation, strategic collateralization, and structured products, to maximize returns on our Bitcoin holdings. Any such activities would represent a second phase of our Bitcoin strategy and would be implemented only after establishing our core treasury position. In the future, we may consider conservative strategies such as secured lending of Bitcoin to institutional counterparties, participation in regulated Bitcoin-backed financial products, or other low-risk yield-generating activities. Any such activities would be evaluated based on risk-adjusted returns, regulatory compliance, and alignment with our overall treasury strategy. Any future alpha-generating activities would be implemented only with board approval, appropriate risk management frameworks, and conservative position sizing to ensure they do not compromise our primary treasury strategy or operational flexibility. We would maintain strict criteria for counterparty selection, collateral requirements, and position limits.</w:t>
      </w:r>
    </w:p>
    <w:p>
      <w:pPr>
        <w:spacing w:after="0" w:line="181" w:lineRule="exact"/>
        <w:rPr>
          <w:sz w:val="20"/>
          <w:szCs w:val="20"/>
          <w:color w:val="auto"/>
        </w:rPr>
      </w:pPr>
    </w:p>
    <w:p>
      <w:pPr>
        <w:ind w:right="160"/>
        <w:spacing w:after="0" w:line="329" w:lineRule="auto"/>
        <w:rPr>
          <w:sz w:val="20"/>
          <w:szCs w:val="20"/>
          <w:color w:val="auto"/>
        </w:rPr>
      </w:pPr>
      <w:r>
        <w:rPr>
          <w:rFonts w:ascii="Times New Roman" w:cs="Times New Roman" w:eastAsia="Times New Roman" w:hAnsi="Times New Roman"/>
          <w:sz w:val="18"/>
          <w:szCs w:val="18"/>
          <w:color w:val="auto"/>
        </w:rPr>
        <w:t>Additionally, we plan to accept cryptocurrency payments across both of our direct-to-consumer platforms, including IM8 Health and CircleDNA, creating a Bitcoin ecosystem from treasury to operations.</w:t>
      </w:r>
    </w:p>
    <w:p>
      <w:pPr>
        <w:spacing w:after="0" w:line="148"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8"/>
          <w:szCs w:val="18"/>
          <w:color w:val="auto"/>
        </w:rPr>
        <w:t>Importantly, our Bitcoin treasury strategy is underpinned by IM8's exceptional operating performance and strong cash flow generation. Our rapidly growing consumer health operations provide investors with both upside potential and downside protection. The combination of IM8's strong growth trajectory—achieving a $60+ million ARR run-rate in just six months—and our strategic Bitcoin allocation creates what we believe is a unique value proposition that offers exposure to both the expanding longevity market and digital asset appreciation.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Cryptocurrencies</w:t>
      </w:r>
    </w:p>
    <w:p>
      <w:pPr>
        <w:spacing w:after="0" w:line="268" w:lineRule="exact"/>
        <w:rPr>
          <w:sz w:val="20"/>
          <w:szCs w:val="20"/>
          <w:color w:val="auto"/>
        </w:rPr>
      </w:pPr>
    </w:p>
    <w:p>
      <w:pPr>
        <w:ind w:right="360"/>
        <w:spacing w:after="0" w:line="313" w:lineRule="auto"/>
        <w:rPr>
          <w:sz w:val="20"/>
          <w:szCs w:val="20"/>
          <w:color w:val="auto"/>
        </w:rPr>
      </w:pPr>
      <w:r>
        <w:rPr>
          <w:rFonts w:ascii="Times New Roman" w:cs="Times New Roman" w:eastAsia="Times New Roman" w:hAnsi="Times New Roman"/>
          <w:sz w:val="18"/>
          <w:szCs w:val="18"/>
          <w:color w:val="auto"/>
        </w:rPr>
        <w:t>While our current treasury strategy is focused on Bitcoin, we may also allocate a portion of proceeds in connection with securities which may be offered pursuant to this prospectus to acquire other major liquid blockchain-linked cryptocurrencies.</w:t>
      </w:r>
    </w:p>
    <w:p>
      <w:pPr>
        <w:spacing w:after="0" w:line="172" w:lineRule="exact"/>
        <w:rPr>
          <w:sz w:val="20"/>
          <w:szCs w:val="20"/>
          <w:color w:val="auto"/>
        </w:rPr>
      </w:pPr>
    </w:p>
    <w:p>
      <w:pPr>
        <w:ind w:right="180" w:firstLine="4"/>
        <w:spacing w:after="0" w:line="291" w:lineRule="auto"/>
        <w:tabs>
          <w:tab w:leader="none" w:pos="2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Identification and Selection of Cryptocurrencies: </w:t>
      </w:r>
      <w:r>
        <w:rPr>
          <w:rFonts w:ascii="Times New Roman" w:cs="Times New Roman" w:eastAsia="Times New Roman" w:hAnsi="Times New Roman"/>
          <w:sz w:val="18"/>
          <w:szCs w:val="18"/>
          <w:color w:val="auto"/>
        </w:rPr>
        <w:t>Any acquisition of cryptocurrencies other than Bitcoin would be subject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formal evaluation and approval process by our Board of Directors. We would identify potential cryptocurrencies based on criteria,</w:t>
      </w:r>
    </w:p>
    <w:p>
      <w:pPr>
        <w:spacing w:after="0" w:line="1" w:lineRule="exact"/>
        <w:rPr>
          <w:rFonts w:ascii="Times New Roman" w:cs="Times New Roman" w:eastAsia="Times New Roman" w:hAnsi="Times New Roman"/>
          <w:sz w:val="18"/>
          <w:szCs w:val="18"/>
          <w:color w:val="auto"/>
        </w:rPr>
      </w:pPr>
    </w:p>
    <w:p>
      <w:pPr>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but not limited to, market leadership, liquidity, regulatory status, custody and security, and store-of-value characteristics. We would only focus on a limited number of established cryptocurrencies, and will not invest in speculative or pre-launch tokens.</w:t>
      </w:r>
    </w:p>
    <w:p>
      <w:pPr>
        <w:spacing w:after="0" w:line="171" w:lineRule="exact"/>
        <w:rPr>
          <w:rFonts w:ascii="Times New Roman" w:cs="Times New Roman" w:eastAsia="Times New Roman" w:hAnsi="Times New Roman"/>
          <w:sz w:val="18"/>
          <w:szCs w:val="18"/>
          <w:color w:val="auto"/>
        </w:rPr>
      </w:pPr>
    </w:p>
    <w:p>
      <w:pPr>
        <w:ind w:right="540" w:firstLine="4"/>
        <w:spacing w:after="0" w:line="309" w:lineRule="auto"/>
        <w:tabs>
          <w:tab w:leader="none" w:pos="24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Treasury Reserve Composition: </w:t>
      </w:r>
      <w:r>
        <w:rPr>
          <w:rFonts w:ascii="Times New Roman" w:cs="Times New Roman" w:eastAsia="Times New Roman" w:hAnsi="Times New Roman"/>
          <w:sz w:val="17"/>
          <w:szCs w:val="17"/>
          <w:color w:val="auto"/>
        </w:rPr>
        <w:t>The remainder of the Company’s treasury reserve that is not allocated to Bitcoin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cryptocurrencies is intended to be held in cash, and cash equivalents, to ensure we maintain sufficient operational liquidity. Our</w:t>
      </w:r>
    </w:p>
    <w:p>
      <w:pPr>
        <w:ind w:right="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strategy requires that we maintain adequate cash reserves to fund our operations for at least 24 months. Our primary strategic asset for treasury appreciation is Bitcoin.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Our Corporate Information</w:t>
      </w:r>
    </w:p>
    <w:p>
      <w:pPr>
        <w:spacing w:after="0" w:line="256"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highlight w:val="white"/>
        </w:rPr>
        <w:t>We are an exempted company limited by shares incorporated on July 21, 2021 under the laws of the Cayman Islands. Our registered office is at Unit 703-706, K11 Atelier King’s Road, 728 King’s Road, Quarry</w:t>
      </w:r>
    </w:p>
    <w:p>
      <w:pPr>
        <w:sectPr>
          <w:pgSz w:w="11900" w:h="16838" w:orient="portrait"/>
          <w:cols w:equalWidth="0" w:num="1">
            <w:col w:w="9720"/>
          </w:cols>
          <w:pgMar w:left="1080" w:top="1440" w:right="1099" w:bottom="9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720"/>
          </w:cols>
          <w:pgMar w:left="1080" w:top="1440" w:right="1099" w:bottom="96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8756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7136130" cy="875665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highlight w:val="white"/>
        </w:rPr>
        <w:t xml:space="preserve">Bay, Hong Kong and our telephone number is +852-2210-9588. Our website is </w:t>
      </w:r>
      <w:r>
        <w:rPr>
          <w:rFonts w:ascii="Times New Roman" w:cs="Times New Roman" w:eastAsia="Times New Roman" w:hAnsi="Times New Roman"/>
          <w:sz w:val="18"/>
          <w:szCs w:val="18"/>
          <w:u w:val="single" w:color="auto"/>
          <w:color w:val="auto"/>
          <w:highlight w:val="white"/>
        </w:rPr>
        <w:t>www.prenetics.com</w:t>
      </w:r>
      <w:r>
        <w:rPr>
          <w:rFonts w:ascii="Times New Roman" w:cs="Times New Roman" w:eastAsia="Times New Roman" w:hAnsi="Times New Roman"/>
          <w:sz w:val="18"/>
          <w:szCs w:val="18"/>
          <w:color w:val="auto"/>
          <w:highlight w:val="white"/>
        </w:rPr>
        <w:t>. The information contained in, or accessible through, our website does not constitute a part of this prospectus.</w:t>
      </w:r>
    </w:p>
    <w:p>
      <w:pPr>
        <w:spacing w:after="0" w:line="162"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highlight w:val="white"/>
        </w:rPr>
        <w:t xml:space="preserve">The SEC maintains an internet site that contains reports, proxy and information statements, and other information regarding issuers, such as we, that file electronically, with the SEC at </w:t>
      </w:r>
      <w:r>
        <w:rPr>
          <w:rFonts w:ascii="Times New Roman" w:cs="Times New Roman" w:eastAsia="Times New Roman" w:hAnsi="Times New Roman"/>
          <w:sz w:val="18"/>
          <w:szCs w:val="18"/>
          <w:u w:val="single" w:color="auto"/>
          <w:color w:val="auto"/>
          <w:highlight w:val="white"/>
        </w:rPr>
        <w:t>www.sec.gov</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highlight w:val="white"/>
        </w:rPr>
        <w:t>Our agent for service of process in the United States is Cogency Global Inc., 122 East 42nd Street, 18th Floor New York, 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10168.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Our Organizational Structure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The following diagram depicts a simplified organizational structure of the Company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 indicates a 35% interest in Insighta Holdings Limited. Insighta Holdings Limited is not a consolidated affiliated entity of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Company.</w:t>
      </w:r>
    </w:p>
    <w:p>
      <w:pPr>
        <w:spacing w:after="0" w:line="266"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8"/>
          <w:szCs w:val="18"/>
          <w:color w:val="auto"/>
          <w:highlight w:val="white"/>
        </w:rPr>
        <w:t>As of December 31, 2024, there were 12,984,844 Ordinary Shares issued and outstanding, par value $0.0015 per share, consisting of 11,403,872 Class A Ordinary Shares and 1,580,972 Class B Ordinary Shares held by Danny Yeung, Chief Executive Officer and Co-Founder of Prenetics. In addition, there were 17,352,363 Warrants outstanding. The Warrants to purchase up to 1,492,306 Class A Ordinary Shares became exercisable on June 17, 2022, in accordance with the terms of the Assignment, Assumption and Amendment Agreement and the Existing Warrant Agreement governing those securities. The exercise price of the Warrants is $133.65 per 1.29 shares (or an effective price of $103.60 per share), subject to adjustment pursuant to the terms of the Assignment, Assumption and Amendment Agreement and the Existing Warrant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56"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and we will remain an “emerging growth company” until the earliest to occur of (i) the last day of the fiscal year (a) following the fifth anniversary of the closing of the Business Combination,</w:t>
      </w:r>
    </w:p>
    <w:p>
      <w:pPr>
        <w:spacing w:after="0" w:line="1" w:lineRule="exact"/>
        <w:rPr>
          <w:sz w:val="20"/>
          <w:szCs w:val="20"/>
          <w:color w:val="auto"/>
        </w:rPr>
      </w:pPr>
    </w:p>
    <w:p>
      <w:pPr>
        <w:ind w:left="260" w:hanging="256"/>
        <w:spacing w:after="0"/>
        <w:tabs>
          <w:tab w:leader="none" w:pos="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which we have total annual gross revenue of at least $1.235 billion or (c) in which we are deemed to be a large accelerated filer,</w:t>
      </w:r>
    </w:p>
    <w:p>
      <w:pPr>
        <w:spacing w:after="0" w:line="61" w:lineRule="exact"/>
        <w:rPr>
          <w:rFonts w:ascii="Times New Roman" w:cs="Times New Roman" w:eastAsia="Times New Roman" w:hAnsi="Times New Roman"/>
          <w:sz w:val="17"/>
          <w:szCs w:val="17"/>
          <w:color w:val="auto"/>
        </w:rPr>
      </w:pPr>
    </w:p>
    <w:p>
      <w:pPr>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which means the market value of our shares held by non-affiliates exceeds $700 million as of the last business day of our prior second fiscal quarter, we have been subject to Exchange Act reporting requirements for at least 12 calendar months; and filed</w:t>
      </w:r>
    </w:p>
    <w:p>
      <w:pPr>
        <w:sectPr>
          <w:pgSz w:w="11900" w:h="16838" w:orient="portrait"/>
          <w:cols w:equalWidth="0" w:num="1">
            <w:col w:w="9660"/>
          </w:cols>
          <w:pgMar w:left="1080" w:top="1440" w:right="11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660"/>
          </w:cols>
          <w:pgMar w:left="1080" w:top="1440" w:right="1159" w:bottom="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959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36130" cy="79590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8"/>
          <w:szCs w:val="18"/>
          <w:color w:val="auto"/>
        </w:rPr>
        <w:t>at least one annual report, and (ii) the date on which we issued more than $1.0 billion in non-convertible debt during the prior three-year period. We intend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w:t>
      </w:r>
    </w:p>
    <w:p>
      <w:pPr>
        <w:spacing w:after="0" w:line="178"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8"/>
          <w:szCs w:val="18"/>
          <w:color w:val="auto"/>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 including, but not limited to, the sections of the Exchange Act regulating the solicitation of proxies, consents or authorizations in respect of a security registered under the Exchange Act; the sections of the Exchange Act requiring insiders to file public reports of their stock ownership and trading activities and liability for insiders who profit from trades made in a short period of time; and the rules under the Exchange Act requiring the filing with the SEC of quarterly reports on Form 10-Q containing unaudited financial and other specified information, or current reports on Form 8-K, upon the occurrence of specified significant events. In addition, we will not be required to file annual reports and financial statements with the SEC as promptly as U.S. domestic companies whose securities are registered under the Exchange Act, and are not required to comply with Regulation FD (Fair Disclosure), which restricts the selective disclosure of material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highlight w:val="white"/>
        </w:rPr>
        <w:t>We are subject to the information reporting requirements of the Securities Exchange Act of 1934, or “the Exchange Act,” that are applicable to “foreign private issuers,” and under those requirements we file reports with the SEC. As a foreign private issuer, we are not subject to the same requirements that are imposed upon U.S. domestic issuers by the SEC. Under the Exchange Act, we are subject to reporting obligations that, in certain respects, are less detailed and less frequent than those of U.S. domestic reporting companies. For example, we are not required to issue quarterly reports, proxy statements that comply with the requirements applicable to U.S. domestic reporting companies, or individual executive compensation information that is as detailed as that required of U.S. domestic reporting companies. We also have four months after the end of each fiscal year to file our annual reports with the SEC and are not required to file current reports as frequently or promptly as U.S. domestic reporting companies. Furthermore, our officers, directors and principal shareholders are exempt from the requirements to report transactions in our equity securities and from the short-swing profit liability provisions contained in Section 16 of the Exchange Act. As a foreign private issuer, we are also not subject to the requirements of Regulation FD promulgated under the Exchange Act. These exemptions and leniencies reduce the frequency and scope of information and protections available to you in comparison to those applicable to shareholders of U.S. domestic reporting companies.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70" w:lineRule="exact"/>
        <w:rPr>
          <w:sz w:val="20"/>
          <w:szCs w:val="20"/>
          <w:color w:val="auto"/>
        </w:rPr>
      </w:pPr>
    </w:p>
    <w:p>
      <w:pPr>
        <w:ind w:right="520"/>
        <w:spacing w:after="0" w:line="305" w:lineRule="auto"/>
        <w:rPr>
          <w:sz w:val="20"/>
          <w:szCs w:val="20"/>
          <w:color w:val="auto"/>
        </w:rPr>
      </w:pPr>
      <w:r>
        <w:rPr>
          <w:rFonts w:ascii="Times New Roman" w:cs="Times New Roman" w:eastAsia="Times New Roman" w:hAnsi="Times New Roman"/>
          <w:sz w:val="18"/>
          <w:szCs w:val="18"/>
          <w:color w:val="auto"/>
          <w:highlight w:val="white"/>
        </w:rPr>
        <w:t>Investing in our securities entails a high degree of risk as discussed in the “Risk Factors” section beginning on page 17 of this prospectus and in the documents incorporated by reference into this prospectus. You should carefully consider such risks before deciding to invest in our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highlight w:val="white"/>
        </w:rPr>
        <w:t>Risk Factors Relating to Cryptocurrency:</w:t>
      </w:r>
    </w:p>
    <w:p>
      <w:pPr>
        <w:spacing w:after="0" w:line="281" w:lineRule="exact"/>
        <w:rPr>
          <w:sz w:val="20"/>
          <w:szCs w:val="20"/>
          <w:color w:val="auto"/>
        </w:rPr>
      </w:pPr>
    </w:p>
    <w:p>
      <w:pPr>
        <w:ind w:left="640" w:hanging="31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alpha-generating activities involving our Bitcoin holdings could expose us to additional risks.</w:t>
      </w:r>
    </w:p>
    <w:p>
      <w:pPr>
        <w:spacing w:after="0" w:line="252" w:lineRule="exact"/>
        <w:rPr>
          <w:rFonts w:ascii="Times New Roman" w:cs="Times New Roman" w:eastAsia="Times New Roman" w:hAnsi="Times New Roman"/>
          <w:sz w:val="18"/>
          <w:szCs w:val="18"/>
          <w:color w:val="auto"/>
        </w:rPr>
      </w:pPr>
    </w:p>
    <w:p>
      <w:pPr>
        <w:ind w:left="660" w:right="640" w:hanging="332"/>
        <w:spacing w:after="0" w:line="329"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use proceeds from offerings to purchase Bitcoin, which subjects us to significant risks related to the extreme volatility and speculative nature of Bitcoin.</w:t>
      </w:r>
    </w:p>
    <w:p>
      <w:pPr>
        <w:sectPr>
          <w:pgSz w:w="11900" w:h="16838" w:orient="portrait"/>
          <w:cols w:equalWidth="0" w:num="1">
            <w:col w:w="9720"/>
          </w:cols>
          <w:pgMar w:left="1080" w:top="1440" w:right="1099" w:bottom="10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720"/>
          </w:cols>
          <w:pgMar w:left="1080" w:top="1440" w:right="1099" w:bottom="1055"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324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136130" cy="732472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60" w:right="80" w:hanging="332"/>
        <w:spacing w:after="0" w:line="32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any securities offered by the Company may be used to purchase additional cryptocurrency, the price of which has been, and will likely continue to be, highly volatile.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highlight w:val="white"/>
        </w:rPr>
        <w:t>Risk Factors Relating to Doing Business in Hong Kong</w:t>
      </w:r>
    </w:p>
    <w:p>
      <w:pPr>
        <w:spacing w:after="0" w:line="268" w:lineRule="exact"/>
        <w:rPr>
          <w:sz w:val="20"/>
          <w:szCs w:val="20"/>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operations in Hong Kong, a Special Administrative Region of China.</w:t>
      </w:r>
    </w:p>
    <w:p>
      <w:pPr>
        <w:spacing w:after="0" w:line="252" w:lineRule="exact"/>
        <w:rPr>
          <w:rFonts w:ascii="Times New Roman" w:cs="Times New Roman" w:eastAsia="Times New Roman" w:hAnsi="Times New Roman"/>
          <w:sz w:val="18"/>
          <w:szCs w:val="18"/>
          <w:color w:val="auto"/>
        </w:rPr>
      </w:pPr>
    </w:p>
    <w:p>
      <w:pPr>
        <w:ind w:left="660" w:right="160" w:hanging="332"/>
        <w:spacing w:after="0" w:line="362"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Hong Kong is a special administrative region of China, legal and operational risks associated with operating in China also apply to operations in Hong Kong and could materially and adversely affect our business and results of operations.</w:t>
      </w:r>
    </w:p>
    <w:p>
      <w:pPr>
        <w:spacing w:after="0" w:line="125" w:lineRule="exact"/>
        <w:rPr>
          <w:rFonts w:ascii="Times New Roman" w:cs="Times New Roman" w:eastAsia="Times New Roman" w:hAnsi="Times New Roman"/>
          <w:sz w:val="17"/>
          <w:szCs w:val="17"/>
          <w:color w:val="auto"/>
        </w:rPr>
      </w:pPr>
    </w:p>
    <w:p>
      <w:pPr>
        <w:ind w:left="660" w:right="200" w:hanging="332"/>
        <w:spacing w:after="0" w:line="33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economic and political conditions in Hong Kong and other parts of Asia could materially and adversely affect our business, financial condition, and results of operations</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18"/>
          <w:szCs w:val="18"/>
          <w:color w:val="auto"/>
        </w:rPr>
      </w:pPr>
    </w:p>
    <w:p>
      <w:pPr>
        <w:ind w:left="660" w:right="200" w:hanging="332"/>
        <w:spacing w:after="0" w:line="309"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mainland Chinese government has significant oversight, discretion and control over the manner in which companies incorporated under the laws of mainland China must conduct their business activities, but as we operate in Hong Kong and not mainland China, the mainland Chinese government currently does not exert direct oversight and discretion over the</w:t>
      </w:r>
    </w:p>
    <w:p>
      <w:pPr>
        <w:ind w:left="660" w:right="1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manner in which we conduct our business activities. However, there is no guarantee that the mainland Chinese government will not seek to intervene or influence our operations at any time. If we were to become subject to such oversight, discretion</w:t>
      </w:r>
    </w:p>
    <w:p>
      <w:pPr>
        <w:spacing w:after="0" w:line="1" w:lineRule="exact"/>
        <w:rPr>
          <w:rFonts w:ascii="Times New Roman" w:cs="Times New Roman" w:eastAsia="Times New Roman" w:hAnsi="Times New Roman"/>
          <w:sz w:val="17"/>
          <w:szCs w:val="17"/>
          <w:color w:val="auto"/>
        </w:rPr>
      </w:pPr>
    </w:p>
    <w:p>
      <w:pPr>
        <w:ind w:left="660" w:right="44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control, including over overseas offerings of securities and/or foreign investments, it may result in a material adverse change in our operations, significantly limit or completely hinder our ability to offer or continue to offer securities to</w:t>
      </w:r>
    </w:p>
    <w:p>
      <w:pPr>
        <w:spacing w:after="0" w:line="1" w:lineRule="exact"/>
        <w:rPr>
          <w:rFonts w:ascii="Times New Roman" w:cs="Times New Roman" w:eastAsia="Times New Roman" w:hAnsi="Times New Roman"/>
          <w:sz w:val="17"/>
          <w:szCs w:val="17"/>
          <w:color w:val="auto"/>
        </w:rPr>
      </w:pPr>
    </w:p>
    <w:p>
      <w:pPr>
        <w:ind w:left="660" w:right="3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investors and cause the value of our securities to significantly decline, or be worthless, which would materially affect the interests of the investors.</w:t>
      </w:r>
    </w:p>
    <w:p>
      <w:pPr>
        <w:spacing w:after="0" w:line="175" w:lineRule="exact"/>
        <w:rPr>
          <w:rFonts w:ascii="Times New Roman" w:cs="Times New Roman" w:eastAsia="Times New Roman" w:hAnsi="Times New Roman"/>
          <w:sz w:val="17"/>
          <w:szCs w:val="17"/>
          <w:color w:val="auto"/>
        </w:rPr>
      </w:pPr>
    </w:p>
    <w:p>
      <w:pPr>
        <w:ind w:left="660" w:hanging="332"/>
        <w:spacing w:after="0" w:line="306"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financial condition and results of operations, and/or the value of our securities or our ability to offer or continue to offer securities to investors may be materially and adversely affected to the extent the laws and regulations of mainland</w:t>
      </w:r>
    </w:p>
    <w:p>
      <w:pPr>
        <w:spacing w:after="0" w:line="1" w:lineRule="exact"/>
        <w:rPr>
          <w:rFonts w:ascii="Times New Roman" w:cs="Times New Roman" w:eastAsia="Times New Roman" w:hAnsi="Times New Roman"/>
          <w:sz w:val="17"/>
          <w:szCs w:val="17"/>
          <w:color w:val="auto"/>
        </w:rPr>
      </w:pPr>
    </w:p>
    <w:p>
      <w:pPr>
        <w:ind w:left="660" w:right="3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China become applicable to us. In that case, we may be subject to the risks and uncertainties associated with the evolving laws and regulations in mainland China, their interpretation and implementation, and the legal and regulatory system in</w:t>
      </w:r>
    </w:p>
    <w:p>
      <w:pPr>
        <w:spacing w:after="0" w:line="1" w:lineRule="exact"/>
        <w:rPr>
          <w:rFonts w:ascii="Times New Roman" w:cs="Times New Roman" w:eastAsia="Times New Roman" w:hAnsi="Times New Roman"/>
          <w:sz w:val="17"/>
          <w:szCs w:val="17"/>
          <w:color w:val="auto"/>
        </w:rPr>
      </w:pPr>
    </w:p>
    <w:p>
      <w:pPr>
        <w:ind w:left="660" w:right="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mainland China more generally, including with respect to the enforcement of laws and the possibility of changes of rules and regulations with little or no advance notice.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highlight w:val="white"/>
        </w:rPr>
        <w:t>Risk Factors Relating to Our Business and Industry:</w:t>
      </w:r>
    </w:p>
    <w:p>
      <w:pPr>
        <w:spacing w:after="0" w:line="254" w:lineRule="exact"/>
        <w:rPr>
          <w:sz w:val="20"/>
          <w:szCs w:val="20"/>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w:t>
      </w:r>
    </w:p>
    <w:p>
      <w:pPr>
        <w:spacing w:after="0" w:line="265"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securities may be prohibited from being traded in the United States under the Holding Foreign Companies Accountable</w:t>
      </w:r>
    </w:p>
    <w:p>
      <w:pPr>
        <w:spacing w:after="0" w:line="49" w:lineRule="exact"/>
        <w:rPr>
          <w:rFonts w:ascii="Times New Roman" w:cs="Times New Roman" w:eastAsia="Times New Roman" w:hAnsi="Times New Roman"/>
          <w:sz w:val="18"/>
          <w:szCs w:val="18"/>
          <w:color w:val="auto"/>
        </w:rPr>
      </w:pPr>
    </w:p>
    <w:p>
      <w:pPr>
        <w:ind w:left="660" w:right="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Act in the future if the PCAOB is unable to inspect or investigate completely auditors located in China. The Holding Foreign Companies Accountable Act, as amended by the Consolidated Appropriations Act, 2023, decreased the number of “non-</w:t>
      </w:r>
    </w:p>
    <w:p>
      <w:pPr>
        <w:spacing w:after="0" w:line="1" w:lineRule="exact"/>
        <w:rPr>
          <w:rFonts w:ascii="Times New Roman" w:cs="Times New Roman" w:eastAsia="Times New Roman" w:hAnsi="Times New Roman"/>
          <w:sz w:val="18"/>
          <w:szCs w:val="18"/>
          <w:color w:val="auto"/>
        </w:rPr>
      </w:pPr>
    </w:p>
    <w:p>
      <w:pPr>
        <w:ind w:left="660" w:right="220"/>
        <w:spacing w:after="0" w:line="3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years” from three years to two years, and thus, reduced the time before our securities may be prohibited from trading or delisted. The delisting of our securities, or the threat of them being delisted, may materially and adversely affect the value of your investment</w:t>
      </w:r>
      <w:r>
        <w:rPr>
          <w:rFonts w:ascii="Times New Roman" w:cs="Times New Roman" w:eastAsia="Times New Roman" w:hAnsi="Times New Roman"/>
          <w:sz w:val="21"/>
          <w:szCs w:val="21"/>
          <w:color w:val="auto"/>
        </w:rPr>
        <w:t>.</w:t>
      </w:r>
    </w:p>
    <w:p>
      <w:pPr>
        <w:sectPr>
          <w:pgSz w:w="11900" w:h="16838" w:orient="portrait"/>
          <w:cols w:equalWidth="0" w:num="1">
            <w:col w:w="9700"/>
          </w:cols>
          <w:pgMar w:left="108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700"/>
          </w:cols>
          <w:pgMar w:left="1080" w:top="1440" w:right="111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853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36130" cy="68535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highlight w:val="white"/>
        </w:rPr>
        <w:t>Risk Factors Relating to Our Bitcoin Treasury Strategy</w:t>
      </w:r>
    </w:p>
    <w:p>
      <w:pPr>
        <w:spacing w:after="0" w:line="268" w:lineRule="exact"/>
        <w:rPr>
          <w:sz w:val="20"/>
          <w:szCs w:val="20"/>
          <w:color w:val="auto"/>
        </w:rPr>
      </w:pP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Bitcoin treasury strategy exposes us to various risks, including risks associated with Bitcoin.</w:t>
      </w:r>
    </w:p>
    <w:p>
      <w:pPr>
        <w:spacing w:after="0" w:line="252" w:lineRule="exact"/>
        <w:rPr>
          <w:rFonts w:ascii="Times New Roman" w:cs="Times New Roman" w:eastAsia="Times New Roman" w:hAnsi="Times New Roman"/>
          <w:sz w:val="18"/>
          <w:szCs w:val="18"/>
          <w:color w:val="auto"/>
        </w:rPr>
      </w:pPr>
    </w:p>
    <w:p>
      <w:pPr>
        <w:ind w:left="660" w:right="60" w:hanging="332"/>
        <w:spacing w:after="0" w:line="32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is a highly volatile asset, and fluctuations in the price of Bitcoin have in the past influenced and are likely to continue to influence our financial results and the market price of our listed securities.</w:t>
      </w:r>
    </w:p>
    <w:p>
      <w:pPr>
        <w:spacing w:after="0" w:line="148" w:lineRule="exact"/>
        <w:rPr>
          <w:rFonts w:ascii="Times New Roman" w:cs="Times New Roman" w:eastAsia="Times New Roman" w:hAnsi="Times New Roman"/>
          <w:sz w:val="18"/>
          <w:szCs w:val="18"/>
          <w:color w:val="auto"/>
        </w:rPr>
      </w:pPr>
    </w:p>
    <w:p>
      <w:pPr>
        <w:ind w:left="660" w:right="640" w:hanging="332"/>
        <w:spacing w:after="0" w:line="32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will be dependent on the price of digital assets and Bitcoin. If such price declines, our business, operating results, and financial condition would be adversely affected.</w:t>
      </w:r>
    </w:p>
    <w:p>
      <w:pPr>
        <w:spacing w:after="0" w:line="148" w:lineRule="exact"/>
        <w:rPr>
          <w:rFonts w:ascii="Times New Roman" w:cs="Times New Roman" w:eastAsia="Times New Roman" w:hAnsi="Times New Roman"/>
          <w:sz w:val="18"/>
          <w:szCs w:val="18"/>
          <w:color w:val="auto"/>
        </w:rPr>
      </w:pPr>
    </w:p>
    <w:p>
      <w:pPr>
        <w:ind w:left="660" w:right="580" w:hanging="332"/>
        <w:spacing w:after="0" w:line="32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dependent on the prices of digital assets and volume of digital asset transactions, which have historically been volatile and are subject to social media and publicity risks.</w:t>
      </w:r>
    </w:p>
    <w:p>
      <w:pPr>
        <w:spacing w:after="0" w:line="148" w:lineRule="exact"/>
        <w:rPr>
          <w:rFonts w:ascii="Times New Roman" w:cs="Times New Roman" w:eastAsia="Times New Roman" w:hAnsi="Times New Roman"/>
          <w:sz w:val="18"/>
          <w:szCs w:val="18"/>
          <w:color w:val="auto"/>
        </w:rPr>
      </w:pPr>
    </w:p>
    <w:p>
      <w:pPr>
        <w:ind w:left="660" w:right="360" w:hanging="332"/>
        <w:spacing w:after="0" w:line="32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and other digital assets are novel assets, and are subject to significant legal, commercial, regulatory and technical uncertainty.</w:t>
      </w:r>
    </w:p>
    <w:p>
      <w:pPr>
        <w:spacing w:after="0" w:line="148" w:lineRule="exact"/>
        <w:rPr>
          <w:rFonts w:ascii="Times New Roman" w:cs="Times New Roman" w:eastAsia="Times New Roman" w:hAnsi="Times New Roman"/>
          <w:sz w:val="18"/>
          <w:szCs w:val="18"/>
          <w:color w:val="auto"/>
        </w:rPr>
      </w:pPr>
    </w:p>
    <w:p>
      <w:pPr>
        <w:ind w:left="660" w:right="360" w:hanging="332"/>
        <w:spacing w:after="0" w:line="32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financial statements do not reflect the potential variability in earnings that we may experience in the future relating to our Bitcoin holdings.</w:t>
      </w:r>
    </w:p>
    <w:p>
      <w:pPr>
        <w:spacing w:after="0" w:line="148"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spot ETPs for Bitcoin and other digital assets may adversely affect the market price of our listed securities.</w:t>
      </w:r>
    </w:p>
    <w:p>
      <w:pPr>
        <w:spacing w:after="0" w:line="265"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Bitcoin treasury strategy subjects us to enhanced regulatory oversight.</w:t>
      </w:r>
    </w:p>
    <w:p>
      <w:pPr>
        <w:spacing w:after="0" w:line="252"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unregulated nature and lack of transparency surrounding the operations of many Bitcoin trading venues, Bitcoin</w:t>
      </w:r>
    </w:p>
    <w:p>
      <w:pPr>
        <w:spacing w:after="0" w:line="49" w:lineRule="exact"/>
        <w:rPr>
          <w:rFonts w:ascii="Times New Roman" w:cs="Times New Roman" w:eastAsia="Times New Roman" w:hAnsi="Times New Roman"/>
          <w:sz w:val="18"/>
          <w:szCs w:val="18"/>
          <w:color w:val="auto"/>
        </w:rPr>
      </w:pPr>
    </w:p>
    <w:p>
      <w:pPr>
        <w:ind w:left="660" w:right="1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venues may experience greater fraud, security failures or regulatory or operational problems than trading venues for more established asset classes, which may result in a loss of confidence in Bitcoin trading venues and adversely affect the value of our Bitcoin.</w:t>
      </w:r>
    </w:p>
    <w:p>
      <w:pPr>
        <w:spacing w:after="0" w:line="182"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Bitcoin holdings could enhance the risks inherent in our Bitcoin treasury strategy.</w:t>
      </w:r>
    </w:p>
    <w:p>
      <w:pPr>
        <w:spacing w:after="0" w:line="252" w:lineRule="exact"/>
        <w:rPr>
          <w:rFonts w:ascii="Times New Roman" w:cs="Times New Roman" w:eastAsia="Times New Roman" w:hAnsi="Times New Roman"/>
          <w:sz w:val="18"/>
          <w:szCs w:val="18"/>
          <w:color w:val="auto"/>
        </w:rPr>
      </w:pPr>
    </w:p>
    <w:p>
      <w:pPr>
        <w:ind w:left="660" w:right="80" w:hanging="332"/>
        <w:spacing w:after="0" w:line="32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or growth of other digital assets, including those with significant private or public sector backing, could have a negative impact on the price of Bitcoin and adversely affect our business.</w:t>
      </w:r>
    </w:p>
    <w:p>
      <w:pPr>
        <w:spacing w:after="0" w:line="148" w:lineRule="exact"/>
        <w:rPr>
          <w:rFonts w:ascii="Times New Roman" w:cs="Times New Roman" w:eastAsia="Times New Roman" w:hAnsi="Times New Roman"/>
          <w:sz w:val="18"/>
          <w:szCs w:val="18"/>
          <w:color w:val="auto"/>
        </w:rPr>
      </w:pPr>
    </w:p>
    <w:p>
      <w:pPr>
        <w:ind w:left="660" w:right="140" w:hanging="332"/>
        <w:spacing w:after="0" w:line="32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Bitcoin holdings will be less liquid than our existing cash and cash equivalents and may not be able to serve as a source of liquidity for us to the same extent as cash and cash equivalents.</w:t>
      </w:r>
    </w:p>
    <w:p>
      <w:pPr>
        <w:spacing w:after="0" w:line="148" w:lineRule="exact"/>
        <w:rPr>
          <w:rFonts w:ascii="Times New Roman" w:cs="Times New Roman" w:eastAsia="Times New Roman" w:hAnsi="Times New Roman"/>
          <w:sz w:val="18"/>
          <w:szCs w:val="18"/>
          <w:color w:val="auto"/>
        </w:rPr>
      </w:pPr>
    </w:p>
    <w:p>
      <w:pPr>
        <w:ind w:left="660" w:right="160" w:hanging="332"/>
        <w:spacing w:after="0" w:line="32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a security breach or cyberattack and unauthorized parties obtain access to our Bitcoin, or if our private keys are lost or destroyed, or other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720"/>
          </w:cols>
          <w:pgMar w:left="1080" w:top="1440" w:right="109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80791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6130" cy="807910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60" w:right="220"/>
        <w:spacing w:after="0" w:line="329" w:lineRule="auto"/>
        <w:rPr>
          <w:sz w:val="20"/>
          <w:szCs w:val="20"/>
          <w:color w:val="auto"/>
        </w:rPr>
      </w:pPr>
      <w:r>
        <w:rPr>
          <w:rFonts w:ascii="Times New Roman" w:cs="Times New Roman" w:eastAsia="Times New Roman" w:hAnsi="Times New Roman"/>
          <w:sz w:val="18"/>
          <w:szCs w:val="18"/>
          <w:color w:val="auto"/>
        </w:rPr>
        <w:t>circumstances or events occur, we may lose some or all of our Bitcoin and our financial condition and results of operations could be materially adversely affected.</w:t>
      </w:r>
    </w:p>
    <w:p>
      <w:pPr>
        <w:spacing w:after="0" w:line="148" w:lineRule="exact"/>
        <w:rPr>
          <w:sz w:val="20"/>
          <w:szCs w:val="20"/>
          <w:color w:val="auto"/>
        </w:rPr>
      </w:pPr>
    </w:p>
    <w:p>
      <w:pPr>
        <w:ind w:left="660" w:right="280" w:hanging="332"/>
        <w:spacing w:after="0" w:line="32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the custody of our Bitcoin, including the loss or destruction of private keys required to access our Bitcoin and cyberattacks or other data loss relating to our Bitcoin.</w:t>
      </w:r>
    </w:p>
    <w:p>
      <w:pPr>
        <w:spacing w:after="0" w:line="148"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 reclassifying that Bitcoin is offered and sold as a security could lead to our classification as an</w:t>
      </w:r>
    </w:p>
    <w:p>
      <w:pPr>
        <w:spacing w:after="0" w:line="49" w:lineRule="exact"/>
        <w:rPr>
          <w:rFonts w:ascii="Times New Roman" w:cs="Times New Roman" w:eastAsia="Times New Roman" w:hAnsi="Times New Roman"/>
          <w:sz w:val="18"/>
          <w:szCs w:val="18"/>
          <w:color w:val="auto"/>
        </w:rPr>
      </w:pPr>
    </w:p>
    <w:p>
      <w:pPr>
        <w:ind w:left="660" w:right="2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under the Investment Company Act of 1940 and could adversely affect the market price of Bitcoin and the market price of our listed securities.</w:t>
      </w:r>
    </w:p>
    <w:p>
      <w:pPr>
        <w:spacing w:after="0" w:line="175" w:lineRule="exact"/>
        <w:rPr>
          <w:rFonts w:ascii="Times New Roman" w:cs="Times New Roman" w:eastAsia="Times New Roman" w:hAnsi="Times New Roman"/>
          <w:sz w:val="18"/>
          <w:szCs w:val="18"/>
          <w:color w:val="auto"/>
        </w:rPr>
      </w:pPr>
    </w:p>
    <w:p>
      <w:pPr>
        <w:ind w:left="660" w:right="780" w:hanging="332"/>
        <w:spacing w:after="0" w:line="31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subject to legal and regulatory obligations that apply to investment companies such as mutual funds and exchange-traded funds, or to obligations applicable to investment advisers.</w:t>
      </w:r>
    </w:p>
    <w:p>
      <w:pPr>
        <w:spacing w:after="0" w:line="175"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Bitcoin treasury strategy exposes us to risk of non-performance by counterparties.</w:t>
      </w:r>
    </w:p>
    <w:p>
      <w:pPr>
        <w:spacing w:after="0" w:line="252"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leverage to acquire Bitcoin could increase the risk of our Bitcoin treasury strategy.</w:t>
      </w:r>
    </w:p>
    <w:p>
      <w:pPr>
        <w:spacing w:after="0" w:line="265" w:lineRule="exact"/>
        <w:rPr>
          <w:rFonts w:ascii="Times New Roman" w:cs="Times New Roman" w:eastAsia="Times New Roman" w:hAnsi="Times New Roman"/>
          <w:sz w:val="18"/>
          <w:szCs w:val="18"/>
          <w:color w:val="auto"/>
        </w:rPr>
      </w:pPr>
    </w:p>
    <w:p>
      <w:pPr>
        <w:ind w:left="660" w:right="440" w:hanging="332"/>
        <w:spacing w:after="0" w:line="31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increase the authorized capital stock could impede our ability to pursue our strategic objectives, provide equity incentives to engage key talent and negatively impact shareholder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Permissions Required from the PRC Authorities for Our Operations</w:t>
      </w:r>
    </w:p>
    <w:p>
      <w:pPr>
        <w:spacing w:after="0" w:line="25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8"/>
          <w:szCs w:val="18"/>
          <w:color w:val="auto"/>
          <w:highlight w:val="white"/>
        </w:rPr>
        <w:t>Historically, we held a minority interest in a genomics business in mainland China through Shenzhen Discover Health Technology Co., Ltd. (the “VIE Entity”), a PRC limited liability company, by entering into a series of contractual arrangements with the VIE Entity and its nominee shareholders through our wholly owned PRC subsidiary, Qianhai Prenetics Technology (Shenzhen) Co., Ltd. (the “WFOE”). On November 26, 2021, the agreements governing the VIE Entity were terminated with immediate effect. As a result, our corporate structure no longer contains any VIE. We believe that we and our subsidiaries, to the extent applicable, have obtained and have not been denied the requisite permissions or approvals that are material for our operations as of the date of this prospectus. We conduct our operations primarily through our subsidiaries in Hong Kong and other jurisdictions. For the years ended December 31, 2020, December 31, 2021, December 31, 2022, December 31, 2023, and December 31, 2024, we generated all of our revenue from our businesses outside of mainland China. Moreover, we do not sell any testing products in mainland China or solicit any customer or collect, host or manage any customer’s personal data in mainland China. Nor do we have access to any personal data of any customer in mainland China that is collected, hosted or managed by our historical minority interest in a genomics business in mainland China. As such, we believe that, based on the advice of our PRC legal counsel, DaHui Lawyers, we are currently not required to obtain any permission or approval from the China Securities Regulatory Commission (CSRC), Cyberspace Administration of China (CAC) or any other governmental agency to operate our business or to list our securities on a U.S. securities exchange or issue securities to U.S. or other foreign investors. If (i) we do not receive or maintain any permission or approval required of us, (ii) we incorrectly concluded that certain permissions or approvals have been acquired or are not required, when they are required and have not been acquired, or</w:t>
      </w:r>
    </w:p>
    <w:p>
      <w:pPr>
        <w:spacing w:after="0" w:line="8" w:lineRule="exact"/>
        <w:rPr>
          <w:sz w:val="20"/>
          <w:szCs w:val="20"/>
          <w:color w:val="auto"/>
        </w:rPr>
      </w:pPr>
    </w:p>
    <w:p>
      <w:pPr>
        <w:ind w:firstLine="4"/>
        <w:spacing w:after="0" w:line="292" w:lineRule="auto"/>
        <w:tabs>
          <w:tab w:leader="none" w:pos="315" w:val="left"/>
        </w:tabs>
        <w:numPr>
          <w:ilvl w:val="0"/>
          <w:numId w:val="16"/>
        </w:numPr>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color w:val="auto"/>
          <w:highlight w:val="white"/>
        </w:rPr>
        <w:t>applicable laws, regulations, or interpretations thereof change and we become subject to the requirement for additional permissions or approvals in the future, we may have to expend significant time and costs to procure them. If we are unable to do so, on commercially reasonable terms, in a timely manner or otherwise, we may become subject to sanctions imposed by the PRC or other</w:t>
      </w:r>
    </w:p>
    <w:p>
      <w:pPr>
        <w:ind w:right="240"/>
        <w:spacing w:after="0" w:line="289" w:lineRule="auto"/>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color w:val="auto"/>
          <w:highlight w:val="white"/>
        </w:rPr>
        <w:t>applicable regulatory authorities, which could include fines and penalties, proceedings against us, and other forms of sanctions, and our ability to conduct our business or accept U.S. or other foreign investments, or continue to remain listed on a U.S. or other</w:t>
      </w:r>
    </w:p>
    <w:p>
      <w:pPr>
        <w:spacing w:after="0" w:line="1" w:lineRule="exact"/>
        <w:rPr>
          <w:rFonts w:ascii="Times New Roman" w:cs="Times New Roman" w:eastAsia="Times New Roman" w:hAnsi="Times New Roman"/>
          <w:sz w:val="18"/>
          <w:szCs w:val="18"/>
          <w:color w:val="auto"/>
          <w:highlight w:val="white"/>
        </w:rPr>
      </w:pPr>
    </w:p>
    <w:p>
      <w:pPr>
        <w:ind w:right="100"/>
        <w:spacing w:after="0" w:line="313" w:lineRule="auto"/>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color w:val="auto"/>
          <w:highlight w:val="white"/>
        </w:rPr>
        <w:t>international securities exchange may be restricted, and our business, reputation, financial condition, and results of operations may be materially and adversely affected.</w:t>
      </w:r>
    </w:p>
    <w:p>
      <w:pPr>
        <w:sectPr>
          <w:pgSz w:w="11900" w:h="16838" w:orient="portrait"/>
          <w:cols w:equalWidth="0" w:num="1">
            <w:col w:w="9720"/>
          </w:cols>
          <w:pgMar w:left="1080" w:top="1440" w:right="1099" w:bottom="8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720"/>
          </w:cols>
          <w:pgMar w:left="1080" w:top="1440" w:right="1099" w:bottom="879"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8216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6130" cy="821626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Cash Transfers and Dividend Distribution</w:t>
      </w:r>
    </w:p>
    <w:p>
      <w:pPr>
        <w:spacing w:after="0" w:line="27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8"/>
          <w:szCs w:val="18"/>
          <w:color w:val="auto"/>
          <w:highlight w:val="white"/>
        </w:rPr>
        <w:t>For the year ended on December 31, 2022 and up to the date of this prospectus, cash amounting to $219 million has been transferred from our Company to Prenetics HK for treasury management, while $23 million has been transferred from Prenetics HK to our Company. From 2020 to 2024, cash was transferred from Prenetics HK to its subsidiaries in the form of capital contributions and through intercompany advances. If needed, cash may be transferred between Prenetics HK and its subsidiaries in the United Kingdom, India and South Africa through intercompany fund advances and capital contributions, and there are currently no restrictions of transferring funds between Prenetics HK and its subsidiaries in the United Kingdom, India and South Africa. Under our cash management policy, the amount of intercompany transfer of funds is determined based on the working capital needs of the subsidiaries and intercompany transactions and is subject to internal approval process and funding arrangements. Our management review and monitor our cash flow forecast and working capital needs of the subsidiaries on a regular basis. In addition, we have not faced difficulties or limitations on our ability to transfer cash between subsidiaries in United Kingdom, India, Singapore and South Africa. Cash generated from Prenetics HK is used to fund operations of its subsidiaries, and no funds were transferred from its subsidiaries in the United Kingdom, India, and Singapore to fund operations of Prenetics HK from 2020 to 2024. No transfer of cash, dividends or distributions has been made between us or our subsidiaries, on one hand, and the VIE Entity, on the other, from 2020 to the date when the agreements governing the VIE Entity were terminated in 2021 and up to date of this prospectus. The following table summarized the amount of cash transferred between Prenetics HK and its subsidiaries for the periods presented, which was in the form of capital contributions and through intercompany advances.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six</w:t>
            </w: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2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months period</w:t>
            </w:r>
          </w:p>
        </w:tc>
        <w:tc>
          <w:tcPr>
            <w:tcW w:w="1420" w:type="dxa"/>
            <w:vAlign w:val="bottom"/>
          </w:tcPr>
          <w:p>
            <w:pPr>
              <w:spacing w:after="0"/>
              <w:rPr>
                <w:sz w:val="12"/>
                <w:szCs w:val="12"/>
                <w:color w:val="auto"/>
              </w:rPr>
            </w:pPr>
          </w:p>
        </w:tc>
        <w:tc>
          <w:tcPr>
            <w:tcW w:w="264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420" w:type="dxa"/>
            <w:vAlign w:val="bottom"/>
          </w:tcPr>
          <w:p>
            <w:pPr>
              <w:spacing w:after="0"/>
              <w:rPr>
                <w:sz w:val="17"/>
                <w:szCs w:val="17"/>
                <w:color w:val="auto"/>
              </w:rPr>
            </w:pPr>
          </w:p>
        </w:tc>
        <w:tc>
          <w:tcPr>
            <w:tcW w:w="264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220" w:type="dxa"/>
            <w:vAlign w:val="bottom"/>
          </w:tcPr>
          <w:p>
            <w:pPr>
              <w:spacing w:after="0"/>
              <w:rPr>
                <w:sz w:val="23"/>
                <w:szCs w:val="23"/>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23"/>
                <w:szCs w:val="23"/>
                <w:color w:val="auto"/>
              </w:rPr>
            </w:pPr>
          </w:p>
        </w:tc>
        <w:tc>
          <w:tcPr>
            <w:tcW w:w="142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Borders>
              <w:top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0" w:type="dxa"/>
            <w:vAlign w:val="bottom"/>
            <w:tcBorders>
              <w:top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40" w:type="dxa"/>
            <w:vAlign w:val="bottom"/>
            <w:gridSpan w:val="2"/>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2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cash transferred from our</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company to Prenetics HK /</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(to our Company from</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(23,001)</w:t>
            </w:r>
          </w:p>
        </w:tc>
        <w:tc>
          <w:tcPr>
            <w:tcW w:w="1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54,729</w:t>
            </w:r>
          </w:p>
        </w:tc>
        <w:tc>
          <w:tcPr>
            <w:tcW w:w="1240" w:type="dxa"/>
            <w:vAlign w:val="bottom"/>
            <w:vMerge w:val="restart"/>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48,359</w:t>
            </w:r>
          </w:p>
        </w:tc>
        <w:tc>
          <w:tcPr>
            <w:tcW w:w="1400" w:type="dxa"/>
            <w:vAlign w:val="bottom"/>
            <w:vMerge w:val="restart"/>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116,000</w:t>
            </w:r>
          </w:p>
        </w:tc>
        <w:tc>
          <w:tcPr>
            <w:tcW w:w="1140" w:type="dxa"/>
            <w:vAlign w:val="bottom"/>
            <w:vMerge w:val="restart"/>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Prenetics HK)</w:t>
            </w: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transferred from</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Prenetics HK to UK</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74"/>
              <w:spacing w:after="0"/>
              <w:rPr>
                <w:sz w:val="20"/>
                <w:szCs w:val="20"/>
                <w:color w:val="auto"/>
              </w:rPr>
            </w:pPr>
            <w:r>
              <w:rPr>
                <w:rFonts w:ascii="Times New Roman" w:cs="Times New Roman" w:eastAsia="Times New Roman" w:hAnsi="Times New Roman"/>
                <w:sz w:val="18"/>
                <w:szCs w:val="18"/>
                <w:color w:val="auto"/>
              </w:rPr>
              <w:t>5,600</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0" w:type="dxa"/>
            <w:vAlign w:val="bottom"/>
          </w:tcPr>
          <w:p>
            <w:pPr>
              <w:spacing w:after="0"/>
              <w:rPr>
                <w:sz w:val="1"/>
                <w:szCs w:val="1"/>
                <w:color w:val="auto"/>
              </w:rPr>
            </w:pPr>
          </w:p>
        </w:tc>
      </w:tr>
      <w:tr>
        <w:trPr>
          <w:trHeight w:val="67"/>
        </w:trPr>
        <w:tc>
          <w:tcPr>
            <w:tcW w:w="2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transferred from</w:t>
            </w: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Prenetics HK to India</w:t>
            </w: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201</w:t>
            </w:r>
          </w:p>
        </w:tc>
        <w:tc>
          <w:tcPr>
            <w:tcW w:w="124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640</w:t>
            </w:r>
          </w:p>
        </w:tc>
        <w:tc>
          <w:tcPr>
            <w:tcW w:w="14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1,369</w:t>
            </w:r>
          </w:p>
        </w:tc>
        <w:tc>
          <w:tcPr>
            <w:tcW w:w="11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553</w:t>
            </w: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68"/>
        </w:trPr>
        <w:tc>
          <w:tcPr>
            <w:tcW w:w="22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transferred from</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Prenetics HK to Singapore</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8"/>
          <w:szCs w:val="18"/>
          <w:color w:val="auto"/>
          <w:highlight w:val="white"/>
        </w:rPr>
        <w:t>We and our subsidiaries have not declared or paid dividends or distributions to investors as of the date of this prospectus. We do not intend to declare dividends or distribute earnings (if any) in the near future. Any determination to pay dividends or distribute earnings (if any) in the future will be at the discretion of our board of directors.</w:t>
      </w:r>
    </w:p>
    <w:p>
      <w:pPr>
        <w:spacing w:after="0" w:line="169"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8"/>
          <w:szCs w:val="18"/>
          <w:color w:val="auto"/>
          <w:highlight w:val="white"/>
        </w:rPr>
        <w:t>There are no significant restrictions on buying or selling foreign exchange or our ability to transfer cash between entities within our group, across borders, or to U.S. investors. There are no significant restrictions and limitations on our ability to distribute earnings (if any) from our businesses, including our subsidiaries, to the</w:t>
      </w:r>
    </w:p>
    <w:p>
      <w:pPr>
        <w:sectPr>
          <w:pgSz w:w="11900" w:h="16838" w:orient="portrait"/>
          <w:cols w:equalWidth="0" w:num="1">
            <w:col w:w="9700"/>
          </w:cols>
          <w:pgMar w:left="1080" w:top="1440" w:right="1119" w:bottom="6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700"/>
          </w:cols>
          <w:pgMar w:left="1080" w:top="1440" w:right="1119" w:bottom="663"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327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6130" cy="53276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color w:val="auto"/>
          <w:highlight w:val="white"/>
        </w:rPr>
        <w:t>parent company and U.S. investors or our ability to settle amounts owed. However, there can be no assurance that the PRC government will not intervene or impose restrictions on our ability to buy or sell foreign exchange or transfer or distribute cash within our organization, which could result in an inability or prohibition on making transfers or distributions to entities outside of Hong Kong and adversely affect our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The Holding Foreign Companies Accountable Act</w:t>
      </w:r>
    </w:p>
    <w:p>
      <w:pPr>
        <w:spacing w:after="0" w:line="270" w:lineRule="exact"/>
        <w:rPr>
          <w:sz w:val="20"/>
          <w:szCs w:val="20"/>
          <w:color w:val="auto"/>
        </w:rPr>
      </w:pPr>
    </w:p>
    <w:p>
      <w:pPr>
        <w:jc w:val="both"/>
        <w:ind w:right="160"/>
        <w:spacing w:after="0" w:line="306" w:lineRule="auto"/>
        <w:rPr>
          <w:sz w:val="20"/>
          <w:szCs w:val="20"/>
          <w:color w:val="auto"/>
        </w:rPr>
      </w:pPr>
      <w:r>
        <w:rPr>
          <w:rFonts w:ascii="Times New Roman" w:cs="Times New Roman" w:eastAsia="Times New Roman" w:hAnsi="Times New Roman"/>
          <w:sz w:val="17"/>
          <w:szCs w:val="17"/>
          <w:color w:val="auto"/>
          <w:highlight w:val="white"/>
        </w:rPr>
        <w:t>On December 16, 2021, the PCAOB issued a report to notify the SEC of its determination that the PCAOB was unable to inspect or investigate completely registered public accounting firms headquartered in mainland China or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w:t>
      </w:r>
    </w:p>
    <w:p>
      <w:pPr>
        <w:spacing w:after="0" w:line="2"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8"/>
          <w:szCs w:val="18"/>
          <w:color w:val="auto"/>
          <w:highlight w:val="white"/>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or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will not be identified as a Commission-Identified Issuer for any future fiscal year, and if we were so identified for two consecutive years, we would become subject to the prohibition on trading under the HFCAA and as a result, NASDAQ may determine to delist our securities.</w:t>
      </w:r>
    </w:p>
    <w:p>
      <w:pPr>
        <w:spacing w:after="0" w:line="19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highlight w:val="white"/>
        </w:rPr>
        <w:t>For the fiscal year ended December 31, 2024, our financial statements were audited by Deloitte Touche Tohmatsu, a Hong Kong-based accounting firm registered with the PCAOB. In 2022, the PCAOB entered into a Statement of Protocol with the CSRC and the Ministry of Finance of the People’s Republic of China, allowing PCAOB inspections of audit firms in mainland China and Hong Kong. Since 2023, the PCAOB has successfully conducted inspections of Hong Kong-based audit firms, including those auditing U.S.-listed companies. As a result, the PCAOB vacated its prior determinations of non-compliance for Hong Kong firms in December 2023, and as of December 31, 2024, there are no PCAOB-identified jurisdictions posing inspection barriers. Consequently, we have not been identified as a Commission-Identified Issuer under the HFCAA for fiscal year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720"/>
          </w:cols>
          <w:pgMar w:left="1080" w:top="1440" w:right="109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70"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8"/>
          <w:szCs w:val="18"/>
          <w:color w:val="auto"/>
        </w:rPr>
        <w:t>An investment in our securities carries a significant degree of risk. Before you decide to purchase our securities, you should carefully consider all risk factors set forth in the applicable prospectus supplement and the documents incorporated by reference herein or therein. See “Documents Incorporated by Reference.” These risk factors are not exhaustive, and investors are encouraged to perform their own investigation with respect to our business, financial condition and prospects. You should carefully consider these risk factors in addition to the other information included in this prospectus, including matters addressed in the section entitled “Forward-Looking Statements.” If any of these risks actually occurs, our business, financial condition and results of operations could suffer. As a result, the market price of our securities would decline, and you could lose all or part of your investment. Additionally, the risks and uncertainties incorporated by reference or included in this prospectus or any accompanying prospectus supplement are not the only risks and uncertainties that we face. Additional risks and uncertainties not presently known to us or that we currently believe to be immaterial may become material and adversely affect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Cryptocurrency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alpha-generating activities involving our Bitcoin holdings could expose us to additional risks.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future alpha-generating activities involving our Bitcoin holdings would introduce additional risks beyond our core treasury strategy.</w:t>
      </w:r>
    </w:p>
    <w:p>
      <w:pPr>
        <w:spacing w:after="0" w:line="266" w:lineRule="exact"/>
        <w:rPr>
          <w:sz w:val="20"/>
          <w:szCs w:val="20"/>
          <w:color w:val="auto"/>
        </w:rPr>
      </w:pPr>
    </w:p>
    <w:p>
      <w:pPr>
        <w:ind w:left="660" w:right="40" w:hanging="328"/>
        <w:spacing w:after="0" w:line="31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 Additional complexity in systems, processes, and expertise requirements could strain our operational resources and increase the risk of errors or failures that could result in financial losses.</w:t>
      </w:r>
    </w:p>
    <w:p>
      <w:pPr>
        <w:spacing w:after="0" w:line="175"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 Alpha-generating activities may involve exposure to third-party service providers, lending counterparties, or trading platforms, subjecting us to their credit risk, operational risk, and potential failure.</w:t>
      </w:r>
    </w:p>
    <w:p>
      <w:pPr>
        <w:spacing w:after="0" w:line="148" w:lineRule="exact"/>
        <w:rPr>
          <w:rFonts w:ascii="Times New Roman" w:cs="Times New Roman" w:eastAsia="Times New Roman" w:hAnsi="Times New Roman"/>
          <w:sz w:val="18"/>
          <w:szCs w:val="18"/>
          <w:color w:val="auto"/>
        </w:rPr>
      </w:pPr>
    </w:p>
    <w:p>
      <w:pPr>
        <w:ind w:left="660" w:right="620" w:hanging="328"/>
        <w:spacing w:after="0" w:line="32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 Evolving regulations may restrict, prohibit, or impose additional requirements on alpha-generating activities, potentially requiring us to cease activities or incur significant compliance costs.</w:t>
      </w:r>
    </w:p>
    <w:p>
      <w:pPr>
        <w:spacing w:after="0" w:line="148" w:lineRule="exact"/>
        <w:rPr>
          <w:rFonts w:ascii="Times New Roman" w:cs="Times New Roman" w:eastAsia="Times New Roman" w:hAnsi="Times New Roman"/>
          <w:sz w:val="18"/>
          <w:szCs w:val="18"/>
          <w:color w:val="auto"/>
        </w:rPr>
      </w:pPr>
    </w:p>
    <w:p>
      <w:pPr>
        <w:ind w:left="660" w:right="120" w:hanging="328"/>
        <w:spacing w:after="0" w:line="32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 Such activities could increase our exposure to Bitcoin price volatility and introduce additional market risks that may amplify losses during adverse market conditions.</w:t>
      </w:r>
    </w:p>
    <w:p>
      <w:pPr>
        <w:spacing w:after="0" w:line="148" w:lineRule="exact"/>
        <w:rPr>
          <w:rFonts w:ascii="Times New Roman" w:cs="Times New Roman" w:eastAsia="Times New Roman" w:hAnsi="Times New Roman"/>
          <w:sz w:val="18"/>
          <w:szCs w:val="18"/>
          <w:color w:val="auto"/>
        </w:rPr>
      </w:pPr>
    </w:p>
    <w:p>
      <w:pPr>
        <w:ind w:left="660" w:right="80" w:hanging="328"/>
        <w:spacing w:after="0" w:line="32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Some alpha-generating strategies may reduce the liquidity of our Bitcoin holdings or require lock-up periods that could affect our ability to access Bitcoin for operational needs or strategic purposes.</w:t>
      </w:r>
    </w:p>
    <w:p>
      <w:pPr>
        <w:spacing w:after="0" w:line="148" w:lineRule="exact"/>
        <w:rPr>
          <w:sz w:val="20"/>
          <w:szCs w:val="20"/>
          <w:color w:val="auto"/>
        </w:rPr>
      </w:pPr>
    </w:p>
    <w:p>
      <w:pPr>
        <w:ind w:right="100"/>
        <w:spacing w:after="0" w:line="329" w:lineRule="auto"/>
        <w:rPr>
          <w:sz w:val="20"/>
          <w:szCs w:val="20"/>
          <w:color w:val="auto"/>
        </w:rPr>
      </w:pPr>
      <w:r>
        <w:rPr>
          <w:rFonts w:ascii="Times New Roman" w:cs="Times New Roman" w:eastAsia="Times New Roman" w:hAnsi="Times New Roman"/>
          <w:sz w:val="18"/>
          <w:szCs w:val="18"/>
          <w:color w:val="auto"/>
        </w:rPr>
        <w:t>Any future alpha-generating activities would be implemented only with appropriate risk management frameworks and board approval, but there can be no assurance that such measures would prevent losses or adverse consequences.</w:t>
      </w:r>
    </w:p>
    <w:p>
      <w:pPr>
        <w:spacing w:after="0" w:line="144" w:lineRule="exact"/>
        <w:rPr>
          <w:sz w:val="20"/>
          <w:szCs w:val="20"/>
          <w:color w:val="auto"/>
        </w:rPr>
      </w:pPr>
    </w:p>
    <w:p>
      <w:pPr>
        <w:ind w:right="14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may use proceeds from offerings to purchase Bitcoin, which subjects us to significant risks related to the extreme volatility and speculative nature of Bitcoin.</w:t>
      </w:r>
    </w:p>
    <w:p>
      <w:pPr>
        <w:spacing w:after="0" w:line="145"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8"/>
          <w:szCs w:val="18"/>
          <w:color w:val="auto"/>
        </w:rPr>
        <w:t>We intend to use the net proceeds from the sale of securities offered under this prospectus to acquire Bitcoin and for general corporate purposes. Our investment in Bitcoin subjects us to risks that could materially and adversely affect our business, financial condition, results of operations, and cash flows. The price of Bitcoin has been, and will likely continue to be, highly volatile. Bitcoin has experienced extreme price fluctuations since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320" w:top="1427" w:right="379" w:bottom="1440" w:gutter="0" w:footer="0" w:header="0"/>
        </w:sectPr>
      </w:pPr>
    </w:p>
    <w:bookmarkStart w:id="25" w:name="page26"/>
    <w:bookmarkEnd w:id="25"/>
    <w:p>
      <w:pPr>
        <w:ind w:right="160"/>
        <w:spacing w:after="0" w:line="329" w:lineRule="auto"/>
        <w:rPr>
          <w:sz w:val="20"/>
          <w:szCs w:val="20"/>
          <w:color w:val="auto"/>
        </w:rPr>
      </w:pPr>
      <w:r>
        <w:rPr>
          <w:rFonts w:ascii="Times New Roman" w:cs="Times New Roman" w:eastAsia="Times New Roman" w:hAnsi="Times New Roman"/>
          <w:sz w:val="18"/>
          <w:szCs w:val="18"/>
          <w:color w:val="auto"/>
        </w:rPr>
        <w:t>inception, with prices ranging from less than $1 to over $60,000 per Bitcoin. The price of Bitcoin may be influenced by many factors that are beyond our control, including:</w:t>
      </w:r>
    </w:p>
    <w:p>
      <w:pPr>
        <w:spacing w:after="0" w:line="14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and government actions in various jurisdictions;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for digital assets;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and acceptance of Bitcoin and other digital assets;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affecting digital asset markets;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Large-scale sales or purchases by major Bitcoin holders;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technical issues affecting Bitcoin networks or exchanges;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coverage and public perception of Bitcoin;</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digital assets or payment systems;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technology underlying Bitcoin;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52"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auto"/>
        </w:rPr>
        <w:t>Because we may hold a significant portion of our assets in Bitcoin, our financial results may be significantly affected by changes in Bitcoin's fair value. We will be required to recognize changes in the fair value of our Bitcoin holdings in our consolidated statements of operations, which may result in significant volatility in our reported financial results from period to period. Decreases in the price of Bitcoin would negatively impact our financial position and operating results.</w:t>
      </w:r>
    </w:p>
    <w:p>
      <w:pPr>
        <w:spacing w:after="0" w:line="183" w:lineRule="exact"/>
        <w:rPr>
          <w:sz w:val="20"/>
          <w:szCs w:val="20"/>
          <w:color w:val="auto"/>
        </w:rPr>
      </w:pPr>
    </w:p>
    <w:p>
      <w:pPr>
        <w:ind w:right="30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The net proceeds from the sale of any securities offered by the Company may be used to purchase additional cryptocurrency, the price of which has been, and will likely continue to be, highly volatile.</w:t>
      </w:r>
    </w:p>
    <w:p>
      <w:pPr>
        <w:spacing w:after="0" w:line="171" w:lineRule="exact"/>
        <w:rPr>
          <w:sz w:val="20"/>
          <w:szCs w:val="20"/>
          <w:color w:val="auto"/>
        </w:rPr>
      </w:pPr>
    </w:p>
    <w:p>
      <w:pPr>
        <w:ind w:right="420"/>
        <w:spacing w:after="0" w:line="305" w:lineRule="auto"/>
        <w:rPr>
          <w:sz w:val="20"/>
          <w:szCs w:val="20"/>
          <w:color w:val="auto"/>
        </w:rPr>
      </w:pPr>
      <w:r>
        <w:rPr>
          <w:rFonts w:ascii="Times New Roman" w:cs="Times New Roman" w:eastAsia="Times New Roman" w:hAnsi="Times New Roman"/>
          <w:sz w:val="18"/>
          <w:szCs w:val="18"/>
          <w:color w:val="auto"/>
        </w:rPr>
        <w:t>We may use the net proceeds from this and any future offerings by the Company to purchase additional Bitcoin and other blockchain-linked cryptocurrencies in accordance with our treasury strategy. While our current treasury strategy is focused on Bitcoin, we may also allocate a portion of proceeds to acquire other major liquid blockchain-linked cryptocurrencies.</w:t>
      </w:r>
    </w:p>
    <w:p>
      <w:pPr>
        <w:spacing w:after="0" w:line="165" w:lineRule="exact"/>
        <w:rPr>
          <w:sz w:val="20"/>
          <w:szCs w:val="20"/>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Identification and Selection of Cryptocurrencies</w:t>
      </w:r>
      <w:r>
        <w:rPr>
          <w:rFonts w:ascii="Times New Roman" w:cs="Times New Roman" w:eastAsia="Times New Roman" w:hAnsi="Times New Roman"/>
          <w:sz w:val="18"/>
          <w:szCs w:val="18"/>
          <w:color w:val="auto"/>
        </w:rPr>
        <w:t>: Any acquisition of cryptocurrencies other than Bitcoin would be subject to a formal evaluation</w:t>
      </w:r>
    </w:p>
    <w:p>
      <w:pPr>
        <w:spacing w:after="0" w:line="53" w:lineRule="exact"/>
        <w:rPr>
          <w:rFonts w:ascii="Times New Roman" w:cs="Times New Roman" w:eastAsia="Times New Roman" w:hAnsi="Times New Roman"/>
          <w:sz w:val="18"/>
          <w:szCs w:val="18"/>
          <w:color w:val="auto"/>
        </w:rPr>
      </w:pPr>
    </w:p>
    <w:p>
      <w:pPr>
        <w:ind w:left="660" w:right="1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approval process by our Board of Directors. We would identify potential cryptocurrencies based on criteria, including, but not limited to, market leadership, liquidity, regulatory status, custody and security, and store-of-value characteristics. We would only focus on a limited number of established cryptocurrencies, and will not invest in speculative or pre-launch tokens.</w:t>
      </w:r>
    </w:p>
    <w:p>
      <w:pPr>
        <w:spacing w:after="0" w:line="16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Treasury Reserve Composition</w:t>
      </w:r>
      <w:r>
        <w:rPr>
          <w:rFonts w:ascii="Times New Roman" w:cs="Times New Roman" w:eastAsia="Times New Roman" w:hAnsi="Times New Roman"/>
          <w:sz w:val="18"/>
          <w:szCs w:val="18"/>
          <w:color w:val="auto"/>
        </w:rPr>
        <w:t>: The remainder of the Company’s treasury reserve that is not allocated to Bitcoin or other cryptocurrencies is</w:t>
      </w:r>
    </w:p>
    <w:p>
      <w:pPr>
        <w:spacing w:after="0" w:line="53" w:lineRule="exact"/>
        <w:rPr>
          <w:rFonts w:ascii="Times New Roman" w:cs="Times New Roman" w:eastAsia="Times New Roman" w:hAnsi="Times New Roman"/>
          <w:sz w:val="18"/>
          <w:szCs w:val="18"/>
          <w:color w:val="auto"/>
        </w:rPr>
      </w:pPr>
    </w:p>
    <w:p>
      <w:pPr>
        <w:ind w:left="660" w:righ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be held in cash, and cash equivalents to ensure we maintain sufficient operational liquidity. Our strategy requires that we maintain adequate cash reserves to fund our operations for at least 24 months. Our primary strategic asset for treasury appreciation is Bitcoin.</w:t>
      </w:r>
    </w:p>
    <w:p>
      <w:pPr>
        <w:spacing w:after="0" w:line="176" w:lineRule="exact"/>
        <w:rPr>
          <w:sz w:val="20"/>
          <w:szCs w:val="20"/>
          <w:color w:val="auto"/>
        </w:rPr>
      </w:pPr>
    </w:p>
    <w:p>
      <w:pPr>
        <w:ind w:right="560"/>
        <w:spacing w:after="0" w:line="313" w:lineRule="auto"/>
        <w:rPr>
          <w:sz w:val="20"/>
          <w:szCs w:val="20"/>
          <w:color w:val="auto"/>
        </w:rPr>
      </w:pPr>
      <w:r>
        <w:rPr>
          <w:rFonts w:ascii="Times New Roman" w:cs="Times New Roman" w:eastAsia="Times New Roman" w:hAnsi="Times New Roman"/>
          <w:sz w:val="18"/>
          <w:szCs w:val="18"/>
          <w:color w:val="auto"/>
        </w:rPr>
        <w:t>Cryptocurrency is a highly volatile asset. Cryptocurrency does not pay interest, but if management determines to stake the cryptocurrency tokens in treasury, rewards can be earned on cryptocurrency. The ability to generate a</w:t>
      </w:r>
    </w:p>
    <w:p>
      <w:pPr>
        <w:sectPr>
          <w:pgSz w:w="11900" w:h="16838" w:orient="portrait"/>
          <w:cols w:equalWidth="0" w:num="1">
            <w:col w:w="11200"/>
          </w:cols>
          <w:pgMar w:left="320" w:top="143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431" w:right="379" w:bottom="1440" w:gutter="0" w:footer="0" w:header="0"/>
          <w:type w:val="continuous"/>
        </w:sectPr>
      </w:pPr>
    </w:p>
    <w:bookmarkStart w:id="26" w:name="page27"/>
    <w:bookmarkEnd w:id="26"/>
    <w:p>
      <w:pPr>
        <w:ind w:right="80"/>
        <w:spacing w:after="0" w:line="297" w:lineRule="auto"/>
        <w:rPr>
          <w:sz w:val="20"/>
          <w:szCs w:val="20"/>
          <w:color w:val="auto"/>
        </w:rPr>
      </w:pPr>
      <w:r>
        <w:rPr>
          <w:rFonts w:ascii="Times New Roman" w:cs="Times New Roman" w:eastAsia="Times New Roman" w:hAnsi="Times New Roman"/>
          <w:sz w:val="18"/>
          <w:szCs w:val="18"/>
          <w:color w:val="auto"/>
        </w:rPr>
        <w:t>return on investment from the net proceeds from any offering by the Company will depend on whether there is appreciation in the value of Bitcoin and other cryptocurrencies following our purchases of such cryptocurrency with the net proceeds from any future offering by the Company and whether the Company is successful in pursuing other strategies to create income streams or otherwise generate funds using its cryptocurrency holdings. Future fluctuations in Bitcoin’s and other cryptocurrency’s trading prices may result in our converting cryptocurrency purchased with the net proceeds from any offering into cash with a value substantially below the net proceeds from such an offering. See “Business Overview–Bitcoin Treasury Strategy” for a more detailed description of our strategy, custody solutions, and risk management framework.</w:t>
      </w:r>
    </w:p>
    <w:p>
      <w:pPr>
        <w:spacing w:after="0" w:line="178"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Cryptocurrency and other digital assets are novel assets, and are subject to significant legal, commercial, regulatory and technical uncertainty, which could adversely impact their price. The application of state and federal securities laws and other laws and regulations to digital assets is unclear in certain respects, and it is possible that regulators in the United States or foreign countries may interpret or apply existing laws and regulations in a manner that adversely affects the price of various cryptocurrencies. The U.S. federal government, states, regulatory agencies, and foreign countries may also enact new laws and regulations, or pursue regulatory, legislative, enforcement or judicial actions, that could materially impact the price of cryptocurrency or the ability of individuals or institutions such as us to own or transfer cryptocurrency. For example, the U.S. executive branch and SEC, among others in the United States and abroad, have been active in recent years, and laws including the European Union’s Markets in Crypto Asset Regulation and the U.K.’s Financial Services and Markets Act 2023 became law. It is not possible to predict whether, or when, any of these developments will lead to Congress granting additional authorities to the SEC or other regulators, or whether, or when, any other federal, state or foreign legislative bodies will take any similar actions. It is also not possible to predict the nature of any such additional authorities, how additional legislation or regulatory oversight might impact the ability of digital asset markets to function or the willingness of financial and other institutions to continue to provide services to the digital assets industry, nor how any new regulations or changes to existing regulations might impact the value of digital assets generally and cryptocurrency specifically. The consequences of increased or different regulation of digital assets and digital asset activities could adversely affect the market price of cryptocurrency and in turn adversely affect the market price of our common stock. Moreover, the risks of engaging in a Bitcoin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Hong Kong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operations in Hong Kong, a Special Administrative Region of China.</w:t>
      </w:r>
    </w:p>
    <w:p>
      <w:pPr>
        <w:spacing w:after="0" w:line="270"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8"/>
          <w:szCs w:val="18"/>
          <w:color w:val="auto"/>
        </w:rPr>
        <w:t>We currently have no business operations in mainland China and do not utilize Variable Interest Entity (VIE) structures. Our operations are based in Hong Kong as a Special Administrative Region of China, which subjects us to a different regulatory framework than mainland Chinese companies. However, our Hong Kong operations expose us to certain legal and regulatory risks related to China.</w:t>
      </w:r>
    </w:p>
    <w:p>
      <w:pPr>
        <w:spacing w:after="0" w:line="16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Administrative Region Status: While Hong Kong operates under the "One Country, Two Systems" framework with its own legal and</w:t>
      </w:r>
    </w:p>
    <w:p>
      <w:pPr>
        <w:spacing w:after="0" w:line="49" w:lineRule="exact"/>
        <w:rPr>
          <w:rFonts w:ascii="Times New Roman" w:cs="Times New Roman" w:eastAsia="Times New Roman" w:hAnsi="Times New Roman"/>
          <w:sz w:val="18"/>
          <w:szCs w:val="18"/>
          <w:color w:val="auto"/>
        </w:rPr>
      </w:pPr>
    </w:p>
    <w:p>
      <w:pPr>
        <w:ind w:left="660" w:right="1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system, the Chinese government maintains significant oversight authority over Hong Kong. Changes in PRC policies or their application to Hong Kong could materially impact our business operations, regulatory compliance requirements, and ability to operate under the current legal framework.</w:t>
      </w:r>
    </w:p>
    <w:p>
      <w:pPr>
        <w:spacing w:after="0" w:line="169" w:lineRule="exact"/>
        <w:rPr>
          <w:rFonts w:ascii="Times New Roman" w:cs="Times New Roman" w:eastAsia="Times New Roman" w:hAnsi="Times New Roman"/>
          <w:sz w:val="18"/>
          <w:szCs w:val="18"/>
          <w:color w:val="auto"/>
        </w:rPr>
      </w:pPr>
    </w:p>
    <w:p>
      <w:pPr>
        <w:ind w:left="660" w:right="120" w:hanging="328"/>
        <w:spacing w:after="0" w:line="32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Extension: Although existing PRC regulations such as the Data Security Law, Cybersecurity Law, and Personal Information Protection Law do not currently apply directly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431" w:right="359" w:bottom="1440" w:gutter="0" w:footer="0" w:header="0"/>
        </w:sectPr>
      </w:pPr>
    </w:p>
    <w:bookmarkStart w:id="27" w:name="page28"/>
    <w:bookmarkEnd w:id="27"/>
    <w:p>
      <w:pPr>
        <w:ind w:left="660" w:right="240"/>
        <w:spacing w:after="0" w:line="329" w:lineRule="auto"/>
        <w:rPr>
          <w:sz w:val="20"/>
          <w:szCs w:val="20"/>
          <w:color w:val="auto"/>
        </w:rPr>
      </w:pPr>
      <w:r>
        <w:rPr>
          <w:rFonts w:ascii="Times New Roman" w:cs="Times New Roman" w:eastAsia="Times New Roman" w:hAnsi="Times New Roman"/>
          <w:sz w:val="18"/>
          <w:szCs w:val="18"/>
          <w:color w:val="auto"/>
        </w:rPr>
        <w:t>Hong Kong operations, any future extension of these or similar regulations to Hong Kong could subject us to new compliance obligations. This could potentially affect our ability to operate efficiently, accept foreign investment, or maintain our U.S. listing.</w:t>
      </w:r>
    </w:p>
    <w:p>
      <w:pPr>
        <w:spacing w:after="0" w:line="14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Risks: Evolving U.S.-China relations and related policies may create additional regulatory complexities for Hong Kong-based</w:t>
      </w:r>
    </w:p>
    <w:p>
      <w:pPr>
        <w:spacing w:after="0" w:line="49" w:lineRule="exact"/>
        <w:rPr>
          <w:rFonts w:ascii="Times New Roman" w:cs="Times New Roman" w:eastAsia="Times New Roman" w:hAnsi="Times New Roman"/>
          <w:sz w:val="18"/>
          <w:szCs w:val="18"/>
          <w:color w:val="auto"/>
        </w:rPr>
      </w:pPr>
    </w:p>
    <w:p>
      <w:pPr>
        <w:ind w:left="660" w:right="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like ours. Changes in trade policies, sanctions, or other geopolitical developments could affect our operations, market access, or ability to maintain our U.S. listing.</w:t>
      </w:r>
    </w:p>
    <w:p>
      <w:pPr>
        <w:spacing w:after="0" w:line="172" w:lineRule="exact"/>
        <w:rPr>
          <w:sz w:val="20"/>
          <w:szCs w:val="20"/>
          <w:color w:val="auto"/>
        </w:rPr>
      </w:pPr>
    </w:p>
    <w:p>
      <w:pPr>
        <w:ind w:right="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Since Hong Kong is a special administrative region of China, legal and operational risks associated with operating in China also apply to operations in Hong Kong and could materially and adversely affect our business and results of operations.</w:t>
      </w:r>
    </w:p>
    <w:p>
      <w:pPr>
        <w:spacing w:after="0" w:line="171"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auto"/>
        </w:rPr>
        <w:t>Prenetics, the holding company, does not conduct operations in China, though certain of the group’s subsidiaries conduct operations in Hong Kong, a special administrative region of the PRC. As a result, we face various legal and operational risks and uncertainties relating to our operations in Hong Kong, and from the evolving regulatory landscape in the PRC generally. As we presently do not have any business operations in mainland China, either directly or through Variable Interest Entity (VIE) arrangements, we consider that the current laws and regulations of the PRC applicable in mainland China have no material impact on our business, financial condition or results of operations. However, since Hong Kong and Macau are special administrative regions of China, the legal and operational risks associated with operating in China also apply to operations in Hong Kong and Macau.</w:t>
      </w:r>
    </w:p>
    <w:p>
      <w:pPr>
        <w:spacing w:after="0" w:line="19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8"/>
          <w:szCs w:val="18"/>
          <w:color w:val="auto"/>
        </w:rPr>
        <w:t>The PRC government has recently indicated an intent to exert more oversight and control over offerings conducted overseas (including those using entity variable interest entity (“VIE”) structure) and foreign investment in China-based companies. This has been evidenced by its probe into several U.S. -listed technology companies with operations in mainland China, focusing on anti-monopoly, financial technology regulation and more recently, with the passage of the PRC Data Security Law, how companies collect, store, process and transfer personal data. Currently, these laws and regulations are expected to apply to mainland China domestic businesses, rather than businesses in Hong Kong which operate under a different set of laws from mainland China. However, there can be no assurance that the PRC government will not, in the future, expand the application of such regulations, or adopt new laws, regulations, or policies, that could apply to our operations in Hong Kong, or that the government of Hong Kong may enact similar laws and regulations applicable to companies operating in Hong Kong.. Should the PRC government seek to affect operations of any company with any level of operations in Hong Kong, should certain PRC laws and regulations or these statements or regulatory actions become applicable to us in the future, or should the government of Hong Kong enact similar laws and regulations, it would likely have a material adverse impact on our business, financial condition and results of operations, ability to accept foreign investments and our ability to offer or continue to offer securities to investors in the U.S. or to list on a U.S. or other international securities exchange, any of which may cause the value of our securities to significantly decline or become worthless. For example, if the recent PRC regulatory actions on data and cyberspace security were to apply to us, including our operations in Hong Kong or Macau, we could become subject to certain cybersecurity and data privacy obligations, including the potential requirement to conduct a cybersecurity review for our listing or continued listing on a U.S. or a foreign stock exchange, and the failure to meet such obligations could result in penalties and other regulatory actions against us and may materially and adversely affect our business and results of operations. Regulatory actions related to data security or anti-monopoly concerns in Hong Kong or Macau may also impact our ability to conduct our business, accept foreign investments, or continue to be listed or list on a U.S. or foreign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31" w:right="359" w:bottom="1440" w:gutter="0" w:footer="0" w:header="0"/>
        </w:sectPr>
      </w:pPr>
    </w:p>
    <w:bookmarkStart w:id="28" w:name="page29"/>
    <w:bookmarkEnd w:id="28"/>
    <w:p>
      <w:pPr>
        <w:ind w:right="38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Unfavorable economic and political conditions in Hong Kong and other parts of Asia could materially and adversely affect our business, financial condition, and results of operations.</w:t>
      </w:r>
    </w:p>
    <w:p>
      <w:pPr>
        <w:spacing w:after="0" w:line="145"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Like many other companies that operate in Asia, our business will be materially affected by economic and political conditions in Asia, which could be negatively impacted by many factors beyond our control, such as inability to access capital markets, control of foreign exchange, changes in exchange rates, rising interest rates or inflation, slowing or negative growth rate, government involvement in allocation of resources, inability to meet financial commitments in a timely manner, terrorism, political uncertainty, epidemic or pandemic, civil unrest, fiscal or other economic policy of governments, and the timing and nature of any regulatory reform. The recent geo-political uncertainties may also give rise to uncertainties in global economic conditions and adversely affect general investor confidence.</w:t>
      </w:r>
    </w:p>
    <w:p>
      <w:pPr>
        <w:spacing w:after="0" w:line="178"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8"/>
          <w:szCs w:val="18"/>
          <w:color w:val="auto"/>
        </w:rPr>
        <w:t>Political unrest such as protests or demonstrations could disrupt economic activities and adversely affect our business. There can be no assurance that these protests and other economic, social, or political unrest in the future will not have a material adverse effect on our financial conditions and results of operations.</w:t>
      </w:r>
    </w:p>
    <w:p>
      <w:pPr>
        <w:spacing w:after="0" w:line="17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The mainland Chinese government has significant oversight, discretion and control over the manner in which companies incorporated under the laws of mainland China must conduct their business activities, but as we operate in Hong Kong and not mainland China, the mainland Chinese government currently does not exert direct oversight and discretion over the manner in which we conduct our business activities. However, there is no guarantee that the mainland Chinese government will not seek to intervene or influence our operations at any time. If we were to become subject to such oversight, discretion or control, including over overseas offerings of securities and/or foreign investments, it may result in a material adverse change in our operations, significantly limit or completely hinder our ability to offer or continue to offer securities to investors and cause the value of our securities to significantly decline, or be worthless, which would materially affect the interests of the investors.</w:t>
      </w:r>
    </w:p>
    <w:p>
      <w:pPr>
        <w:spacing w:after="0" w:line="19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8"/>
          <w:szCs w:val="18"/>
          <w:color w:val="auto"/>
        </w:rPr>
        <w:t>We currently do not have any business operations in mainland China or generate revenues from any businesses in mainland China. We believe that the laws and regulations of mainland China do not currently have any material impact on our business operations, and the mainland Chinese government does not currently exert direct influence or intervention over the manner in which we conduct our business. However, we believe there is significant market opportunity in mainland China for early detection for cancer. If we do decide to expand our operations into mainland China in the future, we could be subject to the significant oversight of the mainland Chinese government. In addition, because of our substantial operations in Hong Kong and given the mainland Chinese government’s significant oversight authority over the conduct of business in Hong Kong generally, there is no guarantee that we will not be subject to such direct influence or intervention in the future due to changes in laws or other unforeseeable reasons. There is always a risk that the mainland Chinese government may, in the future, seek to affect operations of any company with any level of operations in mainland China or Hong Kong, including its ability to offer securities to investors, list its securities on a U.S. or other foreign exchange, conduct its business or accept foreign investment. There also can be no assurance that the PRC government will not intervene or impose restrictions on our ability to transfer or distribute cash within our organization, which could result in an inability or prohibition on making transfers or distributions to entities outside of Hong Kong and adversely affect our business.</w:t>
      </w:r>
    </w:p>
    <w:p>
      <w:pPr>
        <w:spacing w:after="0" w:line="201" w:lineRule="exact"/>
        <w:rPr>
          <w:sz w:val="20"/>
          <w:szCs w:val="20"/>
          <w:color w:val="auto"/>
        </w:rPr>
      </w:pPr>
    </w:p>
    <w:p>
      <w:pPr>
        <w:ind w:right="200"/>
        <w:spacing w:after="0" w:line="305" w:lineRule="auto"/>
        <w:rPr>
          <w:sz w:val="20"/>
          <w:szCs w:val="20"/>
          <w:color w:val="auto"/>
        </w:rPr>
      </w:pPr>
      <w:r>
        <w:rPr>
          <w:rFonts w:ascii="Times New Roman" w:cs="Times New Roman" w:eastAsia="Times New Roman" w:hAnsi="Times New Roman"/>
          <w:sz w:val="18"/>
          <w:szCs w:val="18"/>
          <w:color w:val="auto"/>
        </w:rPr>
        <w:t>The PRC legal system is evolving rapidly and the PRC laws, regulations, and rules may change quickly with little or no advance notice. In particular, because these laws, rules and regulations are relatively new, and because of the limited number of published decisions and the non-precedential nature of these decisions, the interpretation of these laws, rules and regulations may contain inconsistencies, the enforcement of which involves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427" w:right="359" w:bottom="1440" w:gutter="0" w:footer="0" w:header="0"/>
        </w:sectPr>
      </w:pPr>
    </w:p>
    <w:bookmarkStart w:id="29" w:name="page30"/>
    <w:bookmarkEnd w:id="29"/>
    <w:p>
      <w:pPr>
        <w:ind w:right="20"/>
        <w:spacing w:after="0" w:line="297" w:lineRule="auto"/>
        <w:rPr>
          <w:sz w:val="20"/>
          <w:szCs w:val="20"/>
          <w:color w:val="auto"/>
        </w:rPr>
      </w:pPr>
      <w:r>
        <w:rPr>
          <w:rFonts w:ascii="Times New Roman" w:cs="Times New Roman" w:eastAsia="Times New Roman" w:hAnsi="Times New Roman"/>
          <w:sz w:val="18"/>
          <w:szCs w:val="18"/>
          <w:color w:val="auto"/>
        </w:rPr>
        <w:t>If we were to become subject to the direct intervention or influence of the mainland Chinese government at any time due to changes in laws or other unforeseeable reasons, it may require a material change in our operations and/ or result in increased costs necessary to comply with existing and newly adopted laws and regulations or penalties for any failure to comply. In addition, the market prices and value of our securities could be adversely affected as a result of anticipated negative impacts of any such government actions, as well as negative investor sentiment towards Hong Kong-based companies subject to direct mainland Chinese government oversight and regulation, regardless of our actual operating performance. There can be no assurance that the mainland Chinese government will not intervene in or influence our current or future operations at any time.</w:t>
      </w:r>
    </w:p>
    <w:p>
      <w:pPr>
        <w:spacing w:after="0" w:line="178"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color w:val="auto"/>
        </w:rPr>
        <w:t>The PRC government has recently indicated an intent to exert more oversight and control over offerings that are conducted in the U.S. or in other international jurisdictions and/or foreign investment in China-based issuers. Based on the advice of our PRC legal counsel, DaHui Lawyers, we believe that we are currently not required to obtain any permission or approval from the CSRC, CAC or any other PRC governmental authority to operate our business or to list our securities on a U.S. securities exchange or issue securities to foreign investors.</w:t>
      </w:r>
    </w:p>
    <w:p>
      <w:pPr>
        <w:spacing w:after="0" w:line="17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With respect to the issuance of securities to foreign investors, the Regulations on Mergers and Acquisitions of Domestics Enterprises by Foreign Investors (“M&amp;A Rules”) include, among other things, provisions that purport to require any offshore special purpose vehicle that is controlled by PRC companies or individuals and formed for the purpose of seeking a public listing on an overseas stock exchange through acquisition of PRC domestic companies to obtain the approval of the CSRC prior to the listing and trading of its securities on an overseas stock exchange. On September 21, 2006, the CSRC published on its official website procedures specifying documents and materials required to be submitted to it by any such special purpose vehicle seeking CSRC’s approval of overseas listings. However, substantial uncertainty remains regarding the scope and applicability of the M&amp;A Rules and the CSRC approval requirement to offshore special purpose vehicles.</w:t>
      </w:r>
    </w:p>
    <w:p>
      <w:pPr>
        <w:spacing w:after="0" w:line="178"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8"/>
          <w:szCs w:val="18"/>
          <w:color w:val="auto"/>
        </w:rPr>
        <w:t>The revised Measures for Cybersecurity Review, or Review Measures, came into effect on February 15, 2022. The Review Measures stipulate that cybersecurity review is mandatory where a network platform operator that has personal information of more than one million users seeks to list overseas. As advised by our PRC legal counsel, DaHui Lawyers, the offering of our securities is not subject to the foregoing cybersecurity review. That said, the Review Measures provide CAC and relevant authorities certain discretion to initiate cybersecurity review where any network product or service or any data handling activity is considered to affect or may affect national security, which may lead to uncertainties in relation to the impact of the Review Measures impact on our operations or the offering of our securities. As of the date of this prospectus, there are no commensurate laws or regulations in Hong Kong which result in similar significant oversight over data security for companies seeking to offer securities on a foreign exchange. However, we cannot guarantee that, if, in the future, such laws or regulations were issued in Hong Kong, we would be compliant with such laws or regulations in a timely manner or at all. In addition, we may have to spend significant time and costs to become compliant. If we are unable to do so, on commercially reasonable terms, in a timely manner or otherwise, we may become subject to sanctions imposed by the relevant regulatory authorities, and our ability to conduct our business, or offer securities on a U.S. or other international securities exchange may be restricted. As a result of the foregoing, our business, reputation, financial condition, and results of operations may be materially and adversely affected.</w:t>
      </w:r>
    </w:p>
    <w:p>
      <w:pPr>
        <w:spacing w:after="0" w:line="181"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Further, on July 6, 2021, the General Office of the Communist Party of China Central Committee and the General Office of the State Council jointly issued Opinions on Strictly Cracking Down on Illegal Securities Activities in accordance with the Law (“Opinions”). These Opinions have laid the groundwork for strengthening the Chinese government’s monitoring of illegal securities activities in China and the supervision of overseas listings by China-based companies. The Opinions generally provide that existing laws and regulations regarding data security, cross-border data transmission, and the protection of classified information should be further supplemented, and that the PRC government will seek to deepen its cross- border audit supervision cooperation with the regulatory bodies in other countries in law-based and reciprocal manner. On February 17, 2023, CSRC released the Trial Administrative Measures of Overseas Securities Offering and Listing by Domestic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31" w:right="339" w:bottom="1440" w:gutter="0" w:footer="0" w:header="0"/>
        </w:sectPr>
      </w:pPr>
    </w:p>
    <w:bookmarkStart w:id="30" w:name="page31"/>
    <w:bookmarkEnd w:id="30"/>
    <w:p>
      <w:pPr>
        <w:ind w:right="40"/>
        <w:spacing w:after="0" w:line="305" w:lineRule="auto"/>
        <w:rPr>
          <w:sz w:val="20"/>
          <w:szCs w:val="20"/>
          <w:color w:val="auto"/>
        </w:rPr>
      </w:pPr>
      <w:r>
        <w:rPr>
          <w:rFonts w:ascii="Times New Roman" w:cs="Times New Roman" w:eastAsia="Times New Roman" w:hAnsi="Times New Roman"/>
          <w:sz w:val="18"/>
          <w:szCs w:val="18"/>
          <w:color w:val="auto"/>
        </w:rPr>
        <w:t>and five supporting guidelines (collectively, “New Overseas Listing Rules”), which have come into effect on March 31, 2023. New Overseas Listing Rules stipulate filing requirements for foreign direct or indirect issuance and listing of securities by domestic companies. As advised by our PRC legal counsel, DaHui Lawyers, the offering of our securities is not subject to the New Overseas Listing Rules or filing requirements.</w:t>
      </w:r>
    </w:p>
    <w:p>
      <w:pPr>
        <w:spacing w:after="0" w:line="183"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8"/>
          <w:szCs w:val="18"/>
          <w:color w:val="auto"/>
        </w:rPr>
        <w:t>Based on their understanding of the current PRC laws and regulations, our PRC legal counsel, DaHui Lawyers, has advised that we are not required to obtain any prior permission under the M&amp;A Rules or the Opinions from any PRC governmental authorities (including the CSRC) for consummating this offering, given that: (a) the CSRC currently has not issued any definitive rule or interpretation concerning whether offerings like ours are subject to the M&amp;A Rules; and (b) we are not controlled by PRC companies or individuals nor formed for the purpose of seeking a public listing on an overseas stock exchange through acquisition of PRC domestic companies. In addition, our PRC legal counsel, DaHui Lawyers, has advised that the offering of our securities is neither subject to the mandatory cybersecurity review under the Review Measures nor the filing requirements under New Overseas Listing Rules.</w:t>
      </w:r>
    </w:p>
    <w:p>
      <w:pPr>
        <w:spacing w:after="0" w:line="18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However, there is no guarantee that this will continue to be the case in relation to the continued listing of our securities on a securities exchange outside of China, or even if such permission is required and obtained, it will not be subsequently denied or rescinded. Any actions by the Chinese government to exert more oversight and control over offerings that are conducted in the U.S. or in other international jurisdictions (including those by issuers whose primary operations are in Hong Kong) and/or foreign investments in Hong Kong-based issuers could significantly limit or completely hinder our ability to offer or continue to offer securities to investors and cause the value of our securities to significantly decline or be worthless.</w:t>
      </w:r>
    </w:p>
    <w:p>
      <w:pPr>
        <w:spacing w:after="0" w:line="187"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and/or the value of our securities or our ability to offer or continue to offer securities to investors may be materially and adversely affected to the extent the laws and regulations of mainland China become applicable to us. In that case, we may be subject to the risks and uncertainties associated with the evolving laws and regulations in mainland China, their interpretation and implementation, and the legal and regulatory system in mainland China more generally, including with respect to the enforcement of laws and the possibility of changes of rules and regulations with little or no advance notice.</w:t>
      </w:r>
    </w:p>
    <w:p>
      <w:pPr>
        <w:spacing w:after="0" w:line="19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We conduct our operations primarily through our subsidiaries in Hong Kong and other jurisdictions. For the years ended December 31, 2020, December 31, 2021, December 31, 2022, December 31, 2023, and December 31, 2024 we generated all of our revenue from our businesses outside of mainland China. Moreover, we do not sell any testing products in mainland China or solicit any customer or collect, host or manage any customer’s personal data in mainland China. Nor do we have access to any personal data of any customer in mainland China that is collected, hosted or managed by our historical minority interest in a genomics business in mainland China. Accordingly, we believe that the laws and regulations of mainland China, including the developments in cybersecurity laws and regulations of mainland China, do not currently have any material impact on our business, financial condition and results of operations or the listing of our securities, notwithstanding the fact that we have substantial operations in Hong Kong.</w:t>
      </w:r>
    </w:p>
    <w:p>
      <w:pPr>
        <w:spacing w:after="0" w:line="183"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Pursuant to the Basic Law of the Hong Kong Special Administrative Region (the “Basic Law”), which is a national law of the PRC and the constitutional document for Hong Kong, national laws of the PRC shall not be applied in Hong Kong except for those listed in Annex III of the Basic Law and applied locally by promulgation or local legislation. The Basic Law expressly provides that the national laws of the PRC which may be listed in Annex III of the Basic Law shall be confined to those relating to defense and foreign affairs as well as other matters outside the autonomy of Hong Kong. While the National People’s Congress of the PRC has the power to amend the Basic Law, the Basic Law also expressly provides that no amendment to the Basic Law shall contravene the established basic policies of the PRC regarding Hong Kong. As a result, national laws of the PRC not listed in Annex III of the Basic Law, including the enacted version of PRC Data Security Law,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431" w:right="359" w:bottom="1440" w:gutter="0" w:footer="0" w:header="0"/>
        </w:sectPr>
      </w:pPr>
    </w:p>
    <w:bookmarkStart w:id="31" w:name="page32"/>
    <w:bookmarkEnd w:id="31"/>
    <w:p>
      <w:pPr>
        <w:ind w:right="180"/>
        <w:spacing w:after="0" w:line="329" w:lineRule="auto"/>
        <w:rPr>
          <w:sz w:val="20"/>
          <w:szCs w:val="20"/>
          <w:color w:val="auto"/>
        </w:rPr>
      </w:pPr>
      <w:r>
        <w:rPr>
          <w:rFonts w:ascii="Times New Roman" w:cs="Times New Roman" w:eastAsia="Times New Roman" w:hAnsi="Times New Roman"/>
          <w:sz w:val="18"/>
          <w:szCs w:val="18"/>
          <w:color w:val="auto"/>
        </w:rPr>
        <w:t>revised Measures for Cybersecurity Review (“Review Measures”) issued by the CAC, and the PRC Personal Information Protection Law, do not apply in Hong Kong.</w:t>
      </w:r>
    </w:p>
    <w:p>
      <w:pPr>
        <w:spacing w:after="0" w:line="148"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If certain PRC laws and regulations were to become applicable in Hong Kong in the future, the application of such laws and regulations may have a material adverse impact on our business, financial condition and results of operations and our ability to offer or continue to offer securities to investors, any of which may cause the value of our securities to significantly decline or become worthless. In addition, the laws and regulations in the PRC are evolving, and their enactment timetable, interpretation and implementation involve significant uncertainties. To the extent any PRC laws and regulations become applicable to our business, we may be subject to the risks and uncertainties associated with the legal system in the PRC including with respect to the enforcement of laws and the possibility of changes of rules and regulations with little or no advance notice.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Hong Kong,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or Hong Kong, and we use an accounting firm headquartered in one of these jurisdictions to issue an audit report on our financial statements filed with the SEC, we and investors in our securities would be deprived of the benefits of such PCAOB inspections again, which could cause investors and potential investors in our securities to lose confidence in our audit procedures and reported financial information and the quality of our financial statements. Any of the foregoing could have a material adverse effect on the market value of our securities.</w:t>
      </w:r>
    </w:p>
    <w:p>
      <w:pPr>
        <w:spacing w:after="0" w:line="180"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Our securities may be prohibited from being traded in the United States under the Holding Foreign Companies Accountable Act in the future if the PCAOB is unable to inspect or investigate completely auditors located in China. The Holding Foreign Companies Accountable Act, as amended by the Consolidated Appropriations Act, 2023, decreased the number of “non-inspection years” from three years to two years, and thus, reduced the time before our securities may be prohibited from trading or delisted. The delisting of our securities, or the threat of them being delisted, may materially and adversely affect the value of your investment.</w:t>
      </w:r>
    </w:p>
    <w:p>
      <w:pPr>
        <w:spacing w:after="0" w:line="190"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Pursuant to the Holding Foreign Companies Accountable Act, as amended by the Consolidated Appropriations Act, 2023, or the HFCAA, if the SEC determines that an issuer has filed audit reports issued by a registered public accounting firm located in a jurisdiction that has not been subject to inspections by the PCAOB for two consecutive years, the SEC will prohibit the securities of the issuer from being traded on a national securities exchange or in the over-the-counter trading market in the United States.</w:t>
      </w:r>
    </w:p>
    <w:p>
      <w:pPr>
        <w:spacing w:after="0" w:line="190" w:lineRule="exact"/>
        <w:rPr>
          <w:sz w:val="20"/>
          <w:szCs w:val="20"/>
          <w:color w:val="auto"/>
        </w:rPr>
      </w:pPr>
    </w:p>
    <w:p>
      <w:pPr>
        <w:ind w:right="160"/>
        <w:spacing w:after="0" w:line="305" w:lineRule="auto"/>
        <w:rPr>
          <w:sz w:val="20"/>
          <w:szCs w:val="20"/>
          <w:color w:val="auto"/>
        </w:rPr>
      </w:pPr>
      <w:r>
        <w:rPr>
          <w:rFonts w:ascii="Times New Roman" w:cs="Times New Roman" w:eastAsia="Times New Roman" w:hAnsi="Times New Roman"/>
          <w:sz w:val="18"/>
          <w:szCs w:val="18"/>
          <w:color w:val="auto"/>
        </w:rPr>
        <w:t>On June 22, 2021, the U.S. Senate passed the Accelerating Holding Foreign Companies Accountable Act and on December 29, 2022, the Consolidated Appropriations Act was signed into law by President Biden, which, among other things, reduced the number of consecutive non-inspection years required for triggering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31" w:right="339" w:bottom="1440" w:gutter="0" w:footer="0" w:header="0"/>
        </w:sectPr>
      </w:pPr>
    </w:p>
    <w:bookmarkStart w:id="32" w:name="page33"/>
    <w:bookmarkEnd w:id="32"/>
    <w:p>
      <w:pPr>
        <w:jc w:val="both"/>
        <w:ind w:right="20"/>
        <w:spacing w:after="0" w:line="305" w:lineRule="auto"/>
        <w:rPr>
          <w:sz w:val="20"/>
          <w:szCs w:val="20"/>
          <w:color w:val="auto"/>
        </w:rPr>
      </w:pPr>
      <w:r>
        <w:rPr>
          <w:rFonts w:ascii="Times New Roman" w:cs="Times New Roman" w:eastAsia="Times New Roman" w:hAnsi="Times New Roman"/>
          <w:sz w:val="18"/>
          <w:szCs w:val="18"/>
          <w:color w:val="auto"/>
        </w:rPr>
        <w:t>prohibitions under the Holding Foreign Companies Accountable Act from three years to two years. The decrease in non-inspection years would reduce the time period before our securities may be prohibited from trading or delisted if the PCAOB determines that it is unable to inspect or investigate completely registered public accounting firms located in Hong Kong, China, under the HFCAA. The location of our auditor is in Hong Kong, China.</w:t>
      </w:r>
    </w:p>
    <w:p>
      <w:pPr>
        <w:spacing w:after="0" w:line="183"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or Hong Kong. On December 15, 2022, the PCAOB removed mainland China and Hong Kong from the list of jurisdictions where it is unable to inspect or investigate completely registered public accounting firms.</w:t>
      </w:r>
    </w:p>
    <w:p>
      <w:pPr>
        <w:spacing w:after="0" w:line="169"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or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securities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securities when you wish to do so, and the risk and uncertainty associated with delisting would have a negative impact on the price of our securities. Also, such a prohibition would significantly affect our ability to raise capital on terms acceptable to us, or at all, which would have a material adverse impact on our business,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60"/>
          </w:cols>
          <w:pgMar w:left="320" w:top="1431" w:right="419" w:bottom="1440" w:gutter="0" w:footer="0" w:header="0"/>
        </w:sectPr>
      </w:pPr>
    </w:p>
    <w:bookmarkStart w:id="33" w:name="page34"/>
    <w:bookmarkEnd w:id="33"/>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70" w:lineRule="exact"/>
        <w:rPr>
          <w:sz w:val="20"/>
          <w:szCs w:val="20"/>
          <w:color w:val="auto"/>
        </w:rPr>
      </w:pPr>
    </w:p>
    <w:p>
      <w:pPr>
        <w:spacing w:after="0" w:line="319" w:lineRule="auto"/>
        <w:rPr>
          <w:sz w:val="20"/>
          <w:szCs w:val="20"/>
          <w:color w:val="auto"/>
        </w:rPr>
      </w:pPr>
      <w:r>
        <w:rPr>
          <w:rFonts w:ascii="Times New Roman" w:cs="Times New Roman" w:eastAsia="Times New Roman" w:hAnsi="Times New Roman"/>
          <w:sz w:val="17"/>
          <w:szCs w:val="17"/>
          <w:color w:val="auto"/>
        </w:rPr>
        <w:t>We cannot assure you that we will receive any proceeds in connection with securities which may be offered pursuant to this prospectus. We intend to use the net proceeds from the sale of any securities offered under this prospectus to acquire Bitcoin and other blockchain-linked cryptocurrencies, and for general corporate purposes, unless otherwise indicated in the applicable prospectus supplement. We have not determined the amount of net proceeds to be used specifically for any particular purpose. As a result, management will retain broad discretion over the allocation of the net proceeds of any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1440" w:right="479" w:bottom="1440" w:gutter="0" w:footer="0" w:header="0"/>
        </w:sectPr>
      </w:pPr>
    </w:p>
    <w:bookmarkStart w:id="34" w:name="page35"/>
    <w:bookmarkEnd w:id="34"/>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70" w:lineRule="exact"/>
        <w:rPr>
          <w:sz w:val="20"/>
          <w:szCs w:val="20"/>
          <w:color w:val="auto"/>
        </w:rPr>
      </w:pPr>
    </w:p>
    <w:p>
      <w:pPr>
        <w:jc w:val="both"/>
        <w:ind w:right="100"/>
        <w:spacing w:after="0" w:line="294" w:lineRule="auto"/>
        <w:rPr>
          <w:sz w:val="20"/>
          <w:szCs w:val="20"/>
          <w:color w:val="auto"/>
        </w:rPr>
      </w:pPr>
      <w:r>
        <w:rPr>
          <w:rFonts w:ascii="Times New Roman" w:cs="Times New Roman" w:eastAsia="Times New Roman" w:hAnsi="Times New Roman"/>
          <w:sz w:val="18"/>
          <w:szCs w:val="18"/>
          <w:color w:val="auto"/>
        </w:rPr>
        <w:t>The following description summarizes the general terms and provisions of the debt securities that Prenetics may offer and sell from time to time. We will describe in a prospectus supplement the specific terms of the debt securities offered through that prospectus supplement, as well as any general terms and provisions described in this section that will not apply to those debt securities. As used in this “Description of Debt Securities,” the term “debt securities” means the senior and subordinated debt securities that we issue and the applicable trustee authenticates and delivers under the applicable indenture. When we refer to “the Company,” “we,” “our,” and “us” in this section, we mean Prenetics Global Limited excluding, unless the context otherwise requires or as otherwise expressly stated, its subsidiaries.</w:t>
      </w:r>
    </w:p>
    <w:p>
      <w:pPr>
        <w:spacing w:after="0" w:line="19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87" w:lineRule="exact"/>
        <w:rPr>
          <w:sz w:val="20"/>
          <w:szCs w:val="20"/>
          <w:color w:val="auto"/>
        </w:rPr>
      </w:pPr>
    </w:p>
    <w:p>
      <w:pPr>
        <w:ind w:right="120"/>
        <w:spacing w:after="0" w:line="305"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subsidiaries. The debt securities will not be guaranteed by an of our subsidiaries.</w:t>
      </w:r>
    </w:p>
    <w:p>
      <w:pPr>
        <w:spacing w:after="0" w:line="191"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8"/>
          <w:szCs w:val="18"/>
          <w:color w:val="auto"/>
        </w:rPr>
        <w:t>The debt securities will be our unsecured obligations. Any secured debt or other secured obligations will be effectively senior to the debt securities to the extent of the value of the assets securing such debt or other obligations.</w:t>
      </w:r>
    </w:p>
    <w:p>
      <w:pPr>
        <w:spacing w:after="0" w:line="176"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type of the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440" w:right="359" w:bottom="1440" w:gutter="0" w:footer="0" w:header="0"/>
        </w:sectPr>
      </w:pPr>
    </w:p>
    <w:bookmarkStart w:id="35" w:name="page36"/>
    <w:bookmarkEnd w:id="35"/>
    <w:p>
      <w:pPr>
        <w:ind w:left="660" w:right="80" w:hanging="328"/>
        <w:spacing w:after="0" w:line="329"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 and, with respect to any subordinated debt securities the terms on which they are subordinated;</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debt securities;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sell the debt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right, if any, to extend such date or dates;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at which the debt securities will bear interest, or the method of determining such rate or rates;</w:t>
      </w:r>
    </w:p>
    <w:p>
      <w:pPr>
        <w:spacing w:after="0" w:line="252" w:lineRule="exact"/>
        <w:rPr>
          <w:rFonts w:ascii="Times New Roman" w:cs="Times New Roman" w:eastAsia="Times New Roman" w:hAnsi="Times New Roman"/>
          <w:sz w:val="18"/>
          <w:szCs w:val="18"/>
          <w:color w:val="auto"/>
        </w:rPr>
      </w:pPr>
    </w:p>
    <w:p>
      <w:pPr>
        <w:ind w:left="660" w:right="700" w:hanging="328"/>
        <w:spacing w:after="0" w:line="329"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method of determination of such dates;</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of the debt securities if other than $2,000 or multiples of $1,000;</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fund or other analogous fund, if 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dates, prices, obligations and restrictions on the debt securities;</w:t>
      </w:r>
    </w:p>
    <w:p>
      <w:pPr>
        <w:spacing w:after="0" w:line="265" w:lineRule="exact"/>
        <w:rPr>
          <w:rFonts w:ascii="Times New Roman" w:cs="Times New Roman" w:eastAsia="Times New Roman" w:hAnsi="Times New Roman"/>
          <w:sz w:val="18"/>
          <w:szCs w:val="18"/>
          <w:color w:val="auto"/>
        </w:rPr>
      </w:pPr>
    </w:p>
    <w:p>
      <w:pPr>
        <w:ind w:left="660" w:right="60" w:hanging="328"/>
        <w:spacing w:after="0" w:line="313"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features of the debt securities;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subject to the defeasance provisions in the indenture;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definitive or global form or in definitive form only upon satisfaction of certain conditions;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defaults or covenants in addition to or in lieu of those set forth in the indenture;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we refer to “principal” in this section with reference to the debt securities, we are also referring to “premium, if any.”</w:t>
      </w:r>
    </w:p>
    <w:p>
      <w:pPr>
        <w:spacing w:after="0" w:line="26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ectPr>
          <w:pgSz w:w="11900" w:h="16838" w:orient="portrait"/>
          <w:cols w:equalWidth="0" w:num="1">
            <w:col w:w="11200"/>
          </w:cols>
          <w:pgMar w:left="320" w:top="143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1431" w:right="379" w:bottom="1440" w:gutter="0" w:footer="0" w:header="0"/>
          <w:type w:val="continuous"/>
        </w:sectPr>
      </w:pPr>
    </w:p>
    <w:bookmarkStart w:id="36" w:name="page37"/>
    <w:bookmarkEnd w:id="36"/>
    <w:p>
      <w:pPr>
        <w:jc w:val="both"/>
        <w:spacing w:after="0" w:line="305"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83"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90"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268"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Unless we indicate otherwise in a prospectus supplement with respect to a particular series of senior debt securities, the senior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w:t>
      </w:r>
    </w:p>
    <w:p>
      <w:pPr>
        <w:spacing w:after="0" w:line="170" w:lineRule="exact"/>
        <w:rPr>
          <w:sz w:val="20"/>
          <w:szCs w:val="20"/>
          <w:color w:val="auto"/>
        </w:rPr>
      </w:pPr>
    </w:p>
    <w:p>
      <w:pPr>
        <w:ind w:right="160"/>
        <w:spacing w:after="0" w:line="306" w:lineRule="auto"/>
        <w:rPr>
          <w:sz w:val="20"/>
          <w:szCs w:val="20"/>
          <w:color w:val="auto"/>
        </w:rPr>
      </w:pP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 Unless we indicate otherwise in a prospectus supplement with respect to a particular series of senior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18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if any, is a U.S. corporation, limited liability company, partnership or trust;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assumes our obligations on the senior debt securities and under the senior indenture;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senior trustee an officer’s certificate and an opinion of counsel, each stating that the consolidation, merger, conveyance,</w:t>
      </w:r>
    </w:p>
    <w:p>
      <w:pPr>
        <w:spacing w:after="0" w:line="49" w:lineRule="exact"/>
        <w:rPr>
          <w:rFonts w:ascii="Times New Roman" w:cs="Times New Roman" w:eastAsia="Times New Roman" w:hAnsi="Times New Roman"/>
          <w:sz w:val="18"/>
          <w:szCs w:val="18"/>
          <w:color w:val="auto"/>
        </w:rPr>
      </w:pPr>
    </w:p>
    <w:p>
      <w:pPr>
        <w:ind w:left="660" w:right="2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76" w:lineRule="exact"/>
        <w:rPr>
          <w:sz w:val="20"/>
          <w:szCs w:val="20"/>
          <w:color w:val="auto"/>
        </w:rPr>
      </w:pPr>
    </w:p>
    <w:p>
      <w:pPr>
        <w:ind w:right="440"/>
        <w:spacing w:after="0" w:line="313" w:lineRule="auto"/>
        <w:rPr>
          <w:sz w:val="20"/>
          <w:szCs w:val="20"/>
          <w:color w:val="auto"/>
        </w:rPr>
      </w:pPr>
      <w:r>
        <w:rPr>
          <w:rFonts w:ascii="Times New Roman" w:cs="Times New Roman" w:eastAsia="Times New Roman" w:hAnsi="Times New Roman"/>
          <w:sz w:val="18"/>
          <w:szCs w:val="18"/>
          <w:color w:val="auto"/>
        </w:rPr>
        <w:t>The restrictions described in the bullets above do not apply (1) to our consolidation with or merging into one of our affiliates, if our board of directors determines in good faith that the purpose of the consolidation or merger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1431" w:right="359" w:bottom="1440" w:gutter="0" w:footer="0" w:header="0"/>
        </w:sectPr>
      </w:pPr>
    </w:p>
    <w:bookmarkStart w:id="37" w:name="page38"/>
    <w:bookmarkEnd w:id="37"/>
    <w:p>
      <w:pPr>
        <w:ind w:right="600"/>
        <w:spacing w:after="0" w:line="329" w:lineRule="auto"/>
        <w:rPr>
          <w:sz w:val="20"/>
          <w:szCs w:val="20"/>
          <w:color w:val="auto"/>
        </w:rPr>
      </w:pPr>
      <w:r>
        <w:rPr>
          <w:rFonts w:ascii="Times New Roman" w:cs="Times New Roman" w:eastAsia="Times New Roman" w:hAnsi="Times New Roman"/>
          <w:sz w:val="18"/>
          <w:szCs w:val="18"/>
          <w:color w:val="auto"/>
        </w:rPr>
        <w:t>principally to change our state of incorporation or our form of organization to another form or (2) if we merge with or into a single direct or indirect wholly-owned subsidiary of ours.</w:t>
      </w:r>
    </w:p>
    <w:p>
      <w:pPr>
        <w:spacing w:after="0" w:line="148" w:lineRule="exact"/>
        <w:rPr>
          <w:sz w:val="20"/>
          <w:szCs w:val="20"/>
          <w:color w:val="auto"/>
        </w:rPr>
      </w:pPr>
    </w:p>
    <w:p>
      <w:pPr>
        <w:ind w:right="60"/>
        <w:spacing w:after="0" w:line="329" w:lineRule="auto"/>
        <w:rPr>
          <w:sz w:val="20"/>
          <w:szCs w:val="20"/>
          <w:color w:val="auto"/>
        </w:rPr>
      </w:pPr>
      <w:r>
        <w:rPr>
          <w:rFonts w:ascii="Times New Roman" w:cs="Times New Roman" w:eastAsia="Times New Roman" w:hAnsi="Times New Roman"/>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46"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18"/>
          <w:szCs w:val="18"/>
          <w:i w:val="1"/>
          <w:iCs w:val="1"/>
          <w:color w:val="auto"/>
        </w:rPr>
        <w:t>No Protection in the Event of a Change in Control</w:t>
      </w:r>
      <w:r>
        <w:rPr>
          <w:rFonts w:ascii="Times New Roman" w:cs="Times New Roman" w:eastAsia="Times New Roman" w:hAnsi="Times New Roman"/>
          <w:sz w:val="18"/>
          <w:szCs w:val="18"/>
          <w:color w:val="auto"/>
        </w:rPr>
        <w:t>. Unless we indicate otherwise in a prospectus supplement with respect to a particular series of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80" w:lineRule="exact"/>
        <w:rPr>
          <w:sz w:val="20"/>
          <w:szCs w:val="20"/>
          <w:color w:val="auto"/>
        </w:rPr>
      </w:pPr>
    </w:p>
    <w:p>
      <w:pPr>
        <w:ind w:right="300"/>
        <w:spacing w:after="0" w:line="315" w:lineRule="auto"/>
        <w:rPr>
          <w:sz w:val="20"/>
          <w:szCs w:val="20"/>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Unless we indicate otherwise in a prospectus supplement with respect to a particular series of senior debt securities, the following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of default under the senior indenture with respect to senior debt securities of each series:</w:t>
      </w:r>
    </w:p>
    <w:p>
      <w:pPr>
        <w:spacing w:after="0" w:line="174" w:lineRule="exact"/>
        <w:rPr>
          <w:sz w:val="20"/>
          <w:szCs w:val="20"/>
          <w:color w:val="auto"/>
        </w:rPr>
      </w:pPr>
    </w:p>
    <w:p>
      <w:pPr>
        <w:ind w:left="660" w:right="180" w:hanging="328"/>
        <w:spacing w:after="0" w:line="313"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175" w:lineRule="exact"/>
        <w:rPr>
          <w:rFonts w:ascii="Times New Roman" w:cs="Times New Roman" w:eastAsia="Times New Roman" w:hAnsi="Times New Roman"/>
          <w:sz w:val="18"/>
          <w:szCs w:val="18"/>
          <w:color w:val="auto"/>
        </w:rPr>
      </w:pPr>
    </w:p>
    <w:p>
      <w:pPr>
        <w:ind w:left="660" w:right="160" w:hanging="328"/>
        <w:spacing w:after="0" w:line="313"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175" w:lineRule="exact"/>
        <w:rPr>
          <w:rFonts w:ascii="Times New Roman" w:cs="Times New Roman" w:eastAsia="Times New Roman" w:hAnsi="Times New Roman"/>
          <w:sz w:val="18"/>
          <w:szCs w:val="18"/>
          <w:color w:val="auto"/>
        </w:rPr>
      </w:pPr>
    </w:p>
    <w:p>
      <w:pPr>
        <w:ind w:left="660" w:right="160" w:hanging="328"/>
        <w:spacing w:after="0" w:line="30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whether or not voluntary;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senior debt securities as may be specified in the applicable prospectus supplement.</w:t>
      </w:r>
    </w:p>
    <w:p>
      <w:pPr>
        <w:spacing w:after="0" w:line="252" w:lineRule="exact"/>
        <w:rPr>
          <w:sz w:val="20"/>
          <w:szCs w:val="20"/>
          <w:color w:val="auto"/>
        </w:rPr>
      </w:pPr>
    </w:p>
    <w:p>
      <w:pPr>
        <w:ind w:right="100"/>
        <w:spacing w:after="0" w:line="329" w:lineRule="auto"/>
        <w:rPr>
          <w:sz w:val="20"/>
          <w:szCs w:val="20"/>
          <w:color w:val="auto"/>
        </w:rPr>
      </w:pPr>
      <w:r>
        <w:rPr>
          <w:rFonts w:ascii="Times New Roman" w:cs="Times New Roman" w:eastAsia="Times New Roman" w:hAnsi="Times New Roman"/>
          <w:sz w:val="18"/>
          <w:szCs w:val="18"/>
          <w:color w:val="auto"/>
        </w:rPr>
        <w:t>Unless we indicate otherwise in a prospectus supplement with respect to a particular series of senior debt securities, the default by us under any other debt, including any other series of our debt securities, is not a default under the senior indenture.</w:t>
      </w:r>
    </w:p>
    <w:p>
      <w:pPr>
        <w:spacing w:after="0" w:line="148"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91"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31" w:right="339" w:bottom="1440" w:gutter="0" w:footer="0" w:header="0"/>
        </w:sectPr>
      </w:pPr>
    </w:p>
    <w:bookmarkStart w:id="38" w:name="page39"/>
    <w:bookmarkEnd w:id="38"/>
    <w:p>
      <w:pPr>
        <w:ind w:right="80"/>
        <w:spacing w:after="0" w:line="305" w:lineRule="auto"/>
        <w:rPr>
          <w:sz w:val="20"/>
          <w:szCs w:val="20"/>
          <w:color w:val="auto"/>
        </w:rPr>
      </w:pPr>
      <w:r>
        <w:rPr>
          <w:rFonts w:ascii="Times New Roman" w:cs="Times New Roman" w:eastAsia="Times New Roman" w:hAnsi="Times New Roman"/>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83"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8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19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252" w:lineRule="exact"/>
        <w:rPr>
          <w:rFonts w:ascii="Times New Roman" w:cs="Times New Roman" w:eastAsia="Times New Roman" w:hAnsi="Times New Roman"/>
          <w:sz w:val="18"/>
          <w:szCs w:val="18"/>
          <w:color w:val="auto"/>
        </w:rPr>
      </w:pPr>
    </w:p>
    <w:p>
      <w:pPr>
        <w:ind w:left="660" w:right="60" w:hanging="328"/>
        <w:spacing w:after="0" w:line="329"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senior debt securities make a written request to the trustee to pursue the remedy in respect of such event of default;</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252" w:lineRule="exact"/>
        <w:rPr>
          <w:rFonts w:ascii="Times New Roman" w:cs="Times New Roman" w:eastAsia="Times New Roman" w:hAnsi="Times New Roman"/>
          <w:sz w:val="18"/>
          <w:szCs w:val="18"/>
          <w:color w:val="auto"/>
        </w:rPr>
      </w:pPr>
    </w:p>
    <w:p>
      <w:pPr>
        <w:ind w:left="660" w:right="80" w:hanging="328"/>
        <w:spacing w:after="0" w:line="329"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48"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73" w:lineRule="exact"/>
        <w:rPr>
          <w:sz w:val="20"/>
          <w:szCs w:val="20"/>
          <w:color w:val="auto"/>
        </w:rPr>
      </w:pPr>
    </w:p>
    <w:p>
      <w:pPr>
        <w:ind w:right="160"/>
        <w:spacing w:after="0" w:line="329" w:lineRule="auto"/>
        <w:rPr>
          <w:sz w:val="20"/>
          <w:szCs w:val="20"/>
          <w:color w:val="auto"/>
        </w:rPr>
      </w:pPr>
      <w:r>
        <w:rPr>
          <w:rFonts w:ascii="Times New Roman" w:cs="Times New Roman" w:eastAsia="Times New Roman" w:hAnsi="Times New Roman"/>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3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We can satisfy and discharge our obligations to holders of any series of debt securities if:</w:t>
      </w:r>
    </w:p>
    <w:p>
      <w:pPr>
        <w:spacing w:after="0" w:line="268" w:lineRule="exact"/>
        <w:rPr>
          <w:sz w:val="20"/>
          <w:szCs w:val="20"/>
          <w:color w:val="auto"/>
        </w:rPr>
      </w:pPr>
    </w:p>
    <w:p>
      <w:pPr>
        <w:ind w:left="660" w:right="280" w:hanging="328"/>
        <w:spacing w:after="0" w:line="313"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the principal of and interest on all senior debt securities of such series (with certain limited exceptions) when due and payable; or</w:t>
      </w:r>
    </w:p>
    <w:p>
      <w:pPr>
        <w:spacing w:after="0" w:line="175" w:lineRule="exact"/>
        <w:rPr>
          <w:rFonts w:ascii="Times New Roman" w:cs="Times New Roman" w:eastAsia="Times New Roman" w:hAnsi="Times New Roman"/>
          <w:sz w:val="18"/>
          <w:szCs w:val="18"/>
          <w:color w:val="auto"/>
        </w:rPr>
      </w:pPr>
    </w:p>
    <w:p>
      <w:pPr>
        <w:ind w:left="660" w:right="200" w:hanging="328"/>
        <w:spacing w:after="0" w:line="313"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senior trustee for cancellation all senior debt securities of such series theretofore authenticated under the senior indenture (with certain limited exceptions); or</w:t>
      </w:r>
    </w:p>
    <w:p>
      <w:pPr>
        <w:spacing w:after="0" w:line="175" w:lineRule="exact"/>
        <w:rPr>
          <w:rFonts w:ascii="Times New Roman" w:cs="Times New Roman" w:eastAsia="Times New Roman" w:hAnsi="Times New Roman"/>
          <w:sz w:val="18"/>
          <w:szCs w:val="18"/>
          <w:color w:val="auto"/>
        </w:rPr>
      </w:pPr>
    </w:p>
    <w:p>
      <w:pPr>
        <w:ind w:left="660" w:right="240" w:hanging="328"/>
        <w:spacing w:after="0" w:line="306" w:lineRule="auto"/>
        <w:tabs>
          <w:tab w:leader="none" w:pos="6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w:t>
      </w:r>
    </w:p>
    <w:p>
      <w:pPr>
        <w:spacing w:after="0" w:line="1" w:lineRule="exact"/>
        <w:rPr>
          <w:rFonts w:ascii="Times New Roman" w:cs="Times New Roman" w:eastAsia="Times New Roman" w:hAnsi="Times New Roman"/>
          <w:sz w:val="17"/>
          <w:szCs w:val="17"/>
          <w:color w:val="auto"/>
        </w:rPr>
      </w:pPr>
    </w:p>
    <w:p>
      <w:pPr>
        <w:ind w:left="660" w:right="18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69" w:lineRule="exact"/>
        <w:rPr>
          <w:sz w:val="20"/>
          <w:szCs w:val="20"/>
          <w:color w:val="auto"/>
        </w:rPr>
      </w:pPr>
    </w:p>
    <w:p>
      <w:pPr>
        <w:ind w:right="160"/>
        <w:spacing w:after="0" w:line="329" w:lineRule="auto"/>
        <w:rPr>
          <w:sz w:val="20"/>
          <w:szCs w:val="20"/>
          <w:color w:val="auto"/>
        </w:rPr>
      </w:pPr>
      <w:r>
        <w:rPr>
          <w:rFonts w:ascii="Times New Roman" w:cs="Times New Roman" w:eastAsia="Times New Roman" w:hAnsi="Times New Roman"/>
          <w:sz w:val="18"/>
          <w:szCs w:val="18"/>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48" w:lineRule="exact"/>
        <w:rPr>
          <w:sz w:val="20"/>
          <w:szCs w:val="20"/>
          <w:color w:val="auto"/>
        </w:rPr>
      </w:pPr>
    </w:p>
    <w:p>
      <w:pPr>
        <w:jc w:val="both"/>
        <w:ind w:right="320"/>
        <w:spacing w:after="0" w:line="302" w:lineRule="auto"/>
        <w:rPr>
          <w:sz w:val="20"/>
          <w:szCs w:val="20"/>
          <w:color w:val="auto"/>
        </w:rPr>
      </w:pPr>
      <w:r>
        <w:rPr>
          <w:rFonts w:ascii="Times New Roman" w:cs="Times New Roman" w:eastAsia="Times New Roman" w:hAnsi="Times New Roman"/>
          <w:sz w:val="18"/>
          <w:szCs w:val="18"/>
          <w:color w:val="auto"/>
        </w:rPr>
        <w:t>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85" w:lineRule="exact"/>
        <w:rPr>
          <w:sz w:val="20"/>
          <w:szCs w:val="20"/>
          <w:color w:val="auto"/>
        </w:rPr>
      </w:pPr>
    </w:p>
    <w:p>
      <w:pPr>
        <w:ind w:right="240"/>
        <w:spacing w:after="0" w:line="315" w:lineRule="auto"/>
        <w:rPr>
          <w:sz w:val="20"/>
          <w:szCs w:val="20"/>
          <w:color w:val="auto"/>
        </w:rPr>
      </w:pPr>
      <w:r>
        <w:rPr>
          <w:rFonts w:ascii="Times New Roman" w:cs="Times New Roman" w:eastAsia="Times New Roman" w:hAnsi="Times New Roman"/>
          <w:sz w:val="18"/>
          <w:szCs w:val="18"/>
          <w:i w:val="1"/>
          <w:iCs w:val="1"/>
          <w:color w:val="auto"/>
        </w:rPr>
        <w:t>Defeasance</w:t>
      </w:r>
      <w:r>
        <w:rPr>
          <w:rFonts w:ascii="Times New Roman" w:cs="Times New Roman" w:eastAsia="Times New Roman" w:hAnsi="Times New Roman"/>
          <w:sz w:val="18"/>
          <w:szCs w:val="18"/>
          <w:color w:val="auto"/>
        </w:rPr>
        <w:t>. Unless the applicable prospectus supplement provides otherwise, the following discussion of legal defeasance and covenant defeasance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any series of debt securities issued under the indentures.</w:t>
      </w:r>
    </w:p>
    <w:p>
      <w:pPr>
        <w:spacing w:after="0" w:line="172"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We can legally release ourselves from any payment or other obligations on the debt securities of any series (called “legal defeasance”)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conditions are met, including the following:</w:t>
      </w:r>
    </w:p>
    <w:p>
      <w:pPr>
        <w:spacing w:after="0" w:line="174" w:lineRule="exact"/>
        <w:rPr>
          <w:sz w:val="20"/>
          <w:szCs w:val="20"/>
          <w:color w:val="auto"/>
        </w:rPr>
      </w:pPr>
    </w:p>
    <w:p>
      <w:pPr>
        <w:ind w:left="660" w:right="60" w:hanging="328"/>
        <w:spacing w:after="0" w:line="306"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w:t>
      </w:r>
    </w:p>
    <w:p>
      <w:pPr>
        <w:spacing w:after="0" w:line="1" w:lineRule="exact"/>
        <w:rPr>
          <w:rFonts w:ascii="Times New Roman" w:cs="Times New Roman" w:eastAsia="Times New Roman" w:hAnsi="Times New Roman"/>
          <w:sz w:val="17"/>
          <w:szCs w:val="17"/>
          <w:color w:val="auto"/>
        </w:rPr>
      </w:pPr>
    </w:p>
    <w:p>
      <w:pPr>
        <w:ind w:left="660" w:right="20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government or foreign government agency obligations) that will generate enough cash to make interest, principal and any other payments on the debt securities of that series on their various due dates;</w:t>
      </w:r>
    </w:p>
    <w:p>
      <w:pPr>
        <w:spacing w:after="0" w:line="175" w:lineRule="exact"/>
        <w:rPr>
          <w:rFonts w:ascii="Times New Roman" w:cs="Times New Roman" w:eastAsia="Times New Roman" w:hAnsi="Times New Roman"/>
          <w:sz w:val="17"/>
          <w:szCs w:val="17"/>
          <w:color w:val="auto"/>
        </w:rPr>
      </w:pPr>
    </w:p>
    <w:p>
      <w:pPr>
        <w:ind w:left="660" w:right="260" w:hanging="328"/>
        <w:spacing w:after="0" w:line="306"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w:t>
      </w:r>
    </w:p>
    <w:p>
      <w:pPr>
        <w:spacing w:after="0" w:line="1" w:lineRule="exact"/>
        <w:rPr>
          <w:rFonts w:ascii="Times New Roman" w:cs="Times New Roman" w:eastAsia="Times New Roman" w:hAnsi="Times New Roman"/>
          <w:sz w:val="17"/>
          <w:szCs w:val="17"/>
          <w:color w:val="auto"/>
        </w:rPr>
      </w:pPr>
    </w:p>
    <w:p>
      <w:pPr>
        <w:ind w:left="66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and</w:t>
      </w:r>
    </w:p>
    <w:p>
      <w:pPr>
        <w:spacing w:after="0" w:line="16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 legal opinion of our counsel confirming the tax law change or ruling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29" w:right="339" w:bottom="1440" w:gutter="0" w:footer="0" w:header="0"/>
        </w:sectPr>
      </w:pPr>
    </w:p>
    <w:bookmarkStart w:id="40" w:name="page41"/>
    <w:bookmarkEnd w:id="40"/>
    <w:p>
      <w:pPr>
        <w:ind w:right="240"/>
        <w:spacing w:after="0" w:line="329" w:lineRule="auto"/>
        <w:rPr>
          <w:sz w:val="20"/>
          <w:szCs w:val="20"/>
          <w:color w:val="auto"/>
        </w:rPr>
      </w:pPr>
      <w:r>
        <w:rPr>
          <w:rFonts w:ascii="Times New Roman" w:cs="Times New Roman" w:eastAsia="Times New Roman" w:hAnsi="Times New Roman"/>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46" w:lineRule="exact"/>
        <w:rPr>
          <w:sz w:val="20"/>
          <w:szCs w:val="20"/>
          <w:color w:val="auto"/>
        </w:rPr>
      </w:pPr>
    </w:p>
    <w:p>
      <w:pPr>
        <w:ind w:right="80"/>
        <w:spacing w:after="0" w:line="303" w:lineRule="auto"/>
        <w:rPr>
          <w:sz w:val="20"/>
          <w:szCs w:val="20"/>
          <w:color w:val="auto"/>
        </w:rPr>
      </w:pP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Without any change in current U.S. federal tax law, we can make the same type of deposit described above and be released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17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 in trust for your benefit and the benefit of all other direct holders of the debt securities of the same series cash or a combination of cash and</w:t>
      </w:r>
    </w:p>
    <w:p>
      <w:pPr>
        <w:spacing w:after="0" w:line="61" w:lineRule="exact"/>
        <w:rPr>
          <w:rFonts w:ascii="Times New Roman" w:cs="Times New Roman" w:eastAsia="Times New Roman" w:hAnsi="Times New Roman"/>
          <w:sz w:val="17"/>
          <w:szCs w:val="17"/>
          <w:color w:val="auto"/>
        </w:rPr>
      </w:pPr>
    </w:p>
    <w:p>
      <w:pPr>
        <w:ind w:left="660" w:right="20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and</w:t>
      </w:r>
    </w:p>
    <w:p>
      <w:pPr>
        <w:spacing w:after="0" w:line="16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of our counsel confirming that under current U.S. federal income tax law we may make the above deposit</w:t>
      </w:r>
    </w:p>
    <w:p>
      <w:pPr>
        <w:spacing w:after="0" w:line="49" w:lineRule="exact"/>
        <w:rPr>
          <w:rFonts w:ascii="Times New Roman" w:cs="Times New Roman" w:eastAsia="Times New Roman" w:hAnsi="Times New Roman"/>
          <w:sz w:val="18"/>
          <w:szCs w:val="18"/>
          <w:color w:val="auto"/>
        </w:rPr>
      </w:pPr>
    </w:p>
    <w:p>
      <w:pPr>
        <w:ind w:left="660" w:righ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causing you to be taxed on the debt securities any differently than if we did not make the deposit and instead repaid the debt securities ourselves when due.</w:t>
      </w:r>
    </w:p>
    <w:p>
      <w:pPr>
        <w:spacing w:after="0" w:line="176" w:lineRule="exact"/>
        <w:rPr>
          <w:sz w:val="20"/>
          <w:szCs w:val="20"/>
          <w:color w:val="auto"/>
        </w:rPr>
      </w:pPr>
    </w:p>
    <w:p>
      <w:pPr>
        <w:jc w:val="both"/>
        <w:ind w:right="140"/>
        <w:spacing w:after="0" w:line="305" w:lineRule="auto"/>
        <w:rPr>
          <w:sz w:val="20"/>
          <w:szCs w:val="20"/>
          <w:color w:val="auto"/>
        </w:rPr>
      </w:pPr>
      <w:r>
        <w:rPr>
          <w:rFonts w:ascii="Times New Roman" w:cs="Times New Roman" w:eastAsia="Times New Roman" w:hAnsi="Times New Roman"/>
          <w:sz w:val="18"/>
          <w:szCs w:val="18"/>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81" w:lineRule="exact"/>
        <w:rPr>
          <w:sz w:val="20"/>
          <w:szCs w:val="20"/>
          <w:color w:val="auto"/>
        </w:rPr>
      </w:pPr>
    </w:p>
    <w:p>
      <w:pPr>
        <w:ind w:right="160"/>
        <w:spacing w:after="0" w:line="315" w:lineRule="auto"/>
        <w:rPr>
          <w:sz w:val="20"/>
          <w:szCs w:val="20"/>
          <w:color w:val="auto"/>
        </w:rPr>
      </w:pPr>
      <w:r>
        <w:rPr>
          <w:rFonts w:ascii="Times New Roman" w:cs="Times New Roman" w:eastAsia="Times New Roman" w:hAnsi="Times New Roman"/>
          <w:sz w:val="18"/>
          <w:szCs w:val="18"/>
          <w:i w:val="1"/>
          <w:iCs w:val="1"/>
          <w:color w:val="auto"/>
        </w:rPr>
        <w:t>Modification and Waiver</w:t>
      </w:r>
      <w:r>
        <w:rPr>
          <w:rFonts w:ascii="Times New Roman" w:cs="Times New Roman" w:eastAsia="Times New Roman" w:hAnsi="Times New Roman"/>
          <w:sz w:val="18"/>
          <w:szCs w:val="18"/>
          <w:color w:val="auto"/>
        </w:rPr>
        <w:t>. We and the trustee may amend or supplement the senior indenture or the senior debt securities of any series without the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holder:</w:t>
      </w:r>
    </w:p>
    <w:p>
      <w:pPr>
        <w:spacing w:after="0" w:line="17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any assets as security for the senior debt securities of one or more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 corporation, limited liability company, partnership or trust to us, and the assumption by such successor of our</w:t>
      </w:r>
    </w:p>
    <w:p>
      <w:pPr>
        <w:spacing w:after="0" w:line="49"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agreements and obligations under the senior indenture or to otherwise comply with the covenant relating to mergers, consolidations and sales of assets;</w:t>
      </w:r>
    </w:p>
    <w:p>
      <w:pPr>
        <w:spacing w:after="0" w:line="175" w:lineRule="exact"/>
        <w:rPr>
          <w:rFonts w:ascii="Times New Roman" w:cs="Times New Roman" w:eastAsia="Times New Roman" w:hAnsi="Times New Roman"/>
          <w:sz w:val="18"/>
          <w:szCs w:val="18"/>
          <w:color w:val="auto"/>
        </w:rPr>
      </w:pPr>
    </w:p>
    <w:p>
      <w:pPr>
        <w:ind w:left="660" w:right="40" w:hanging="328"/>
        <w:spacing w:after="0" w:line="313"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requirements of the SEC in order to effect or maintain the qualification of the senior indenture under the Trust Indenture Act of 1939, as amended (the “Trust Indenture Act”);</w:t>
      </w:r>
    </w:p>
    <w:p>
      <w:pPr>
        <w:spacing w:after="0" w:line="175" w:lineRule="exact"/>
        <w:rPr>
          <w:rFonts w:ascii="Times New Roman" w:cs="Times New Roman" w:eastAsia="Times New Roman" w:hAnsi="Times New Roman"/>
          <w:sz w:val="18"/>
          <w:szCs w:val="18"/>
          <w:color w:val="auto"/>
        </w:rPr>
      </w:pPr>
    </w:p>
    <w:p>
      <w:pPr>
        <w:ind w:left="660" w:right="80" w:hanging="328"/>
        <w:spacing w:after="0" w:line="313"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175" w:lineRule="exact"/>
        <w:rPr>
          <w:rFonts w:ascii="Times New Roman" w:cs="Times New Roman" w:eastAsia="Times New Roman" w:hAnsi="Times New Roman"/>
          <w:sz w:val="18"/>
          <w:szCs w:val="18"/>
          <w:color w:val="auto"/>
        </w:rPr>
      </w:pPr>
    </w:p>
    <w:p>
      <w:pPr>
        <w:ind w:left="660" w:right="20" w:hanging="328"/>
        <w:spacing w:after="0" w:line="346" w:lineRule="auto"/>
        <w:tabs>
          <w:tab w:leader="none" w:pos="6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15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senior debt securities as permitted by the senior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31" w:right="339" w:bottom="1440" w:gutter="0" w:footer="0" w:header="0"/>
        </w:sectPr>
      </w:pPr>
    </w:p>
    <w:bookmarkStart w:id="41" w:name="page42"/>
    <w:bookmarkEnd w:id="41"/>
    <w:p>
      <w:pPr>
        <w:ind w:left="660" w:right="160" w:hanging="328"/>
        <w:spacing w:after="0" w:line="329"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the senior indenture in respect of one or more series of senior debt securities, provided that</w:t>
      </w:r>
    </w:p>
    <w:p>
      <w:pPr>
        <w:spacing w:after="0" w:line="49" w:lineRule="exact"/>
        <w:rPr>
          <w:rFonts w:ascii="Times New Roman" w:cs="Times New Roman" w:eastAsia="Times New Roman" w:hAnsi="Times New Roman"/>
          <w:sz w:val="18"/>
          <w:szCs w:val="18"/>
          <w:color w:val="auto"/>
        </w:rPr>
      </w:pPr>
    </w:p>
    <w:p>
      <w:pPr>
        <w:ind w:left="660" w:right="1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senior debt securities of any series so long as no senior debt securities of such series are outstanding; or</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in any material respect.</w:t>
      </w:r>
    </w:p>
    <w:p>
      <w:pPr>
        <w:spacing w:after="0" w:line="252"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17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final maturity of any senior debt securities of such series;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any senior debt securities of such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rate, or extends the time for payment of, interest on any senior debt securities of such series;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amount payable upon the redemption of any senior debt securities of such series;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currency of payment of principal of or interest on any senior debt securities of such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original issue discount securities payable upon acceleration of maturity or the amount provable in bankruptcy;</w:t>
      </w:r>
    </w:p>
    <w:p>
      <w:pPr>
        <w:spacing w:after="0" w:line="265"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175" w:lineRule="exact"/>
        <w:rPr>
          <w:rFonts w:ascii="Times New Roman" w:cs="Times New Roman" w:eastAsia="Times New Roman" w:hAnsi="Times New Roman"/>
          <w:sz w:val="18"/>
          <w:szCs w:val="18"/>
          <w:color w:val="auto"/>
        </w:rPr>
      </w:pPr>
    </w:p>
    <w:p>
      <w:pPr>
        <w:ind w:left="660" w:right="760" w:hanging="328"/>
        <w:spacing w:after="0" w:line="313"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175" w:lineRule="exact"/>
        <w:rPr>
          <w:rFonts w:ascii="Times New Roman" w:cs="Times New Roman" w:eastAsia="Times New Roman" w:hAnsi="Times New Roman"/>
          <w:sz w:val="18"/>
          <w:szCs w:val="18"/>
          <w:color w:val="auto"/>
        </w:rPr>
      </w:pPr>
    </w:p>
    <w:p>
      <w:pPr>
        <w:ind w:left="660" w:right="40" w:hanging="328"/>
        <w:spacing w:after="0" w:line="305"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169" w:lineRule="exact"/>
        <w:rPr>
          <w:rFonts w:ascii="Times New Roman" w:cs="Times New Roman" w:eastAsia="Times New Roman" w:hAnsi="Times New Roman"/>
          <w:sz w:val="18"/>
          <w:szCs w:val="18"/>
          <w:color w:val="auto"/>
        </w:rPr>
      </w:pPr>
    </w:p>
    <w:p>
      <w:pPr>
        <w:ind w:left="660" w:right="220" w:hanging="328"/>
        <w:spacing w:after="0" w:line="329"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affects the right to convert or exchange senior debt securities into Class A Ordinary Shares, other securities or property in accordance with the terms of the senior debt securities;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431" w:right="359" w:bottom="1440" w:gutter="0" w:footer="0" w:header="0"/>
        </w:sectPr>
      </w:pPr>
    </w:p>
    <w:bookmarkStart w:id="42" w:name="page43"/>
    <w:bookmarkEnd w:id="42"/>
    <w:p>
      <w:pPr>
        <w:ind w:left="660" w:right="20" w:hanging="328"/>
        <w:spacing w:after="0" w:line="329"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48"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9" w:lineRule="exact"/>
        <w:rPr>
          <w:sz w:val="20"/>
          <w:szCs w:val="20"/>
          <w:color w:val="auto"/>
        </w:rPr>
      </w:pPr>
    </w:p>
    <w:p>
      <w:pPr>
        <w:ind w:right="160"/>
        <w:spacing w:after="0" w:line="315" w:lineRule="auto"/>
        <w:rPr>
          <w:sz w:val="20"/>
          <w:szCs w:val="20"/>
          <w:color w:val="auto"/>
        </w:rPr>
      </w:pPr>
      <w:r>
        <w:rPr>
          <w:rFonts w:ascii="Times New Roman" w:cs="Times New Roman" w:eastAsia="Times New Roman" w:hAnsi="Times New Roman"/>
          <w:sz w:val="17"/>
          <w:szCs w:val="17"/>
          <w:i w:val="1"/>
          <w:iCs w:val="1"/>
          <w:color w:val="auto"/>
        </w:rPr>
        <w:t>Notice of Redemption</w:t>
      </w:r>
      <w:r>
        <w:rPr>
          <w:rFonts w:ascii="Times New Roman" w:cs="Times New Roman" w:eastAsia="Times New Roman" w:hAnsi="Times New Roman"/>
          <w:sz w:val="17"/>
          <w:szCs w:val="17"/>
          <w:color w:val="auto"/>
        </w:rPr>
        <w:t>. Notice of any redemption of senior debt securities will be mailed at least 10 days but not more than 60 days before the redemption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177"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8"/>
          <w:szCs w:val="18"/>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74"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We will describe the terms upon which senior debt securities may be convertible into our Class A Ordinary Shares or other securities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Class A Ordinary Shares or other securities issuable upon conversion.</w:t>
      </w:r>
    </w:p>
    <w:p>
      <w:pPr>
        <w:spacing w:after="0" w:line="186"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8"/>
          <w:szCs w:val="18"/>
          <w:i w:val="1"/>
          <w:iCs w:val="1"/>
          <w:color w:val="auto"/>
        </w:rPr>
        <w:t>No Personal Liability of, shareholders, Officers, or Directors</w:t>
      </w:r>
      <w:r>
        <w:rPr>
          <w:rFonts w:ascii="Times New Roman" w:cs="Times New Roman" w:eastAsia="Times New Roman" w:hAnsi="Times New Roman"/>
          <w:sz w:val="18"/>
          <w:szCs w:val="18"/>
          <w:color w:val="auto"/>
        </w:rPr>
        <w:t>. The senior indenture provides that no recourse shall be had under any obligation, covenant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of ours in the senior indenture or any supplemental indenture, or in any of the senior debt securities or because of the creation of any indebtedness represented thereby, against any of our shareholders,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73"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8"/>
          <w:szCs w:val="18"/>
          <w:i w:val="1"/>
          <w:iCs w:val="1"/>
          <w:color w:val="auto"/>
        </w:rPr>
        <w:t>Concerning the Trustee</w:t>
      </w:r>
      <w:r>
        <w:rPr>
          <w:rFonts w:ascii="Times New Roman" w:cs="Times New Roman" w:eastAsia="Times New Roman" w:hAnsi="Times New Roman"/>
          <w:sz w:val="18"/>
          <w:szCs w:val="18"/>
          <w:color w:val="auto"/>
        </w:rPr>
        <w:t>. The senior indenture provides that, except during the continuance of an event of default, the trustee will not be liable except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72" w:lineRule="exact"/>
        <w:rPr>
          <w:sz w:val="20"/>
          <w:szCs w:val="20"/>
          <w:color w:val="auto"/>
        </w:rPr>
      </w:pPr>
    </w:p>
    <w:p>
      <w:pPr>
        <w:ind w:right="440"/>
        <w:spacing w:after="0" w:line="305" w:lineRule="auto"/>
        <w:rPr>
          <w:sz w:val="20"/>
          <w:szCs w:val="20"/>
          <w:color w:val="auto"/>
        </w:rPr>
      </w:pPr>
      <w:r>
        <w:rPr>
          <w:rFonts w:ascii="Times New Roman" w:cs="Times New Roman" w:eastAsia="Times New Roman" w:hAnsi="Times New Roman"/>
          <w:sz w:val="18"/>
          <w:szCs w:val="18"/>
          <w:color w:val="auto"/>
        </w:rPr>
        <w:t>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31" w:right="339" w:bottom="1440" w:gutter="0" w:footer="0" w:header="0"/>
        </w:sectPr>
      </w:pPr>
    </w:p>
    <w:bookmarkStart w:id="43" w:name="page44"/>
    <w:bookmarkEnd w:id="43"/>
    <w:p>
      <w:pPr>
        <w:ind w:right="180"/>
        <w:spacing w:after="0" w:line="329" w:lineRule="auto"/>
        <w:rPr>
          <w:sz w:val="20"/>
          <w:szCs w:val="20"/>
          <w:color w:val="auto"/>
        </w:rPr>
      </w:pPr>
      <w:r>
        <w:rPr>
          <w:rFonts w:ascii="Times New Roman" w:cs="Times New Roman" w:eastAsia="Times New Roman" w:hAnsi="Times New Roman"/>
          <w:sz w:val="18"/>
          <w:szCs w:val="18"/>
          <w:color w:val="auto"/>
        </w:rPr>
        <w:t>claims, as security or otherwise. The trustee is permitted to engage in other transactions, provided that if it acquires any conflicting interest (as defined in the Trust Indenture Act), it must eliminate such conflict or resign.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have normal banking relationships with the senior trustee in the ordinary course of business.</w:t>
      </w:r>
    </w:p>
    <w:p>
      <w:pPr>
        <w:spacing w:after="0" w:line="26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8"/>
          <w:szCs w:val="18"/>
          <w:i w:val="1"/>
          <w:iCs w:val="1"/>
          <w:color w:val="auto"/>
        </w:rPr>
        <w:t>Unclaimed Funds</w:t>
      </w:r>
      <w:r>
        <w:rPr>
          <w:rFonts w:ascii="Times New Roman" w:cs="Times New Roman" w:eastAsia="Times New Roman" w:hAnsi="Times New Roman"/>
          <w:sz w:val="18"/>
          <w:szCs w:val="18"/>
          <w:color w:val="auto"/>
        </w:rPr>
        <w:t>. All funds deposited with the trustee or any paying agent for the payment of principal, premium, interest or additional amounts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87" w:lineRule="exact"/>
        <w:rPr>
          <w:sz w:val="20"/>
          <w:szCs w:val="20"/>
          <w:color w:val="auto"/>
        </w:rPr>
      </w:pPr>
    </w:p>
    <w:p>
      <w:pPr>
        <w:ind w:right="60"/>
        <w:spacing w:after="0" w:line="315" w:lineRule="auto"/>
        <w:rPr>
          <w:sz w:val="20"/>
          <w:szCs w:val="20"/>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senior indenture and the senior debt securities will be governed by, and construed in accordance with, the internal laws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 of the Subordinated Debt Securities</w:t>
      </w:r>
    </w:p>
    <w:p>
      <w:pPr>
        <w:spacing w:after="0" w:line="256" w:lineRule="exact"/>
        <w:rPr>
          <w:sz w:val="20"/>
          <w:szCs w:val="20"/>
          <w:color w:val="auto"/>
        </w:rPr>
      </w:pPr>
    </w:p>
    <w:p>
      <w:pPr>
        <w:ind w:right="260"/>
        <w:spacing w:after="0" w:line="305" w:lineRule="auto"/>
        <w:rPr>
          <w:sz w:val="20"/>
          <w:szCs w:val="20"/>
          <w:color w:val="auto"/>
        </w:rPr>
      </w:pPr>
      <w:r>
        <w:rPr>
          <w:rFonts w:ascii="Times New Roman" w:cs="Times New Roman" w:eastAsia="Times New Roman" w:hAnsi="Times New Roman"/>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or different subordination terms may be specified in the prospectus supplement applicable to a particular series.</w:t>
      </w:r>
    </w:p>
    <w:p>
      <w:pPr>
        <w:spacing w:after="0" w:line="250"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The indebtedness evidenced by the subordinated debt securities is subordinate to the prior payment in full of all of our senior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94" w:lineRule="exact"/>
        <w:rPr>
          <w:sz w:val="20"/>
          <w:szCs w:val="20"/>
          <w:color w:val="auto"/>
        </w:rPr>
      </w:pPr>
    </w:p>
    <w:p>
      <w:pPr>
        <w:ind w:right="300"/>
        <w:spacing w:after="0" w:line="313" w:lineRule="auto"/>
        <w:rPr>
          <w:sz w:val="20"/>
          <w:szCs w:val="20"/>
          <w:color w:val="auto"/>
        </w:rPr>
      </w:pPr>
      <w:r>
        <w:rPr>
          <w:rFonts w:ascii="Times New Roman" w:cs="Times New Roman" w:eastAsia="Times New Roman" w:hAnsi="Times New Roman"/>
          <w:sz w:val="18"/>
          <w:szCs w:val="18"/>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1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for money borrowed;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evidenced by notes, debentures, bonds or other securities sold by that person for money;</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lease obligations that are capitalized on the books of that person in accordance with generally accepted accounting principles;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of the kinds described in the first two bullet points above and all lease obligations of others of the kind described in the</w:t>
      </w:r>
    </w:p>
    <w:p>
      <w:pPr>
        <w:spacing w:after="0" w:line="49" w:lineRule="exact"/>
        <w:rPr>
          <w:rFonts w:ascii="Times New Roman" w:cs="Times New Roman" w:eastAsia="Times New Roman" w:hAnsi="Times New Roman"/>
          <w:sz w:val="18"/>
          <w:szCs w:val="18"/>
          <w:color w:val="auto"/>
        </w:rPr>
      </w:pPr>
    </w:p>
    <w:p>
      <w:pPr>
        <w:ind w:left="660" w:right="4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bullet point above that the person, in any manner, assumes or guarantees or that the person in effect guarantees through an agreement to purchase, whether that agreement is contingent or otherwise;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1431" w:right="379" w:bottom="1440" w:gutter="0" w:footer="0" w:header="0"/>
        </w:sectPr>
      </w:pPr>
    </w:p>
    <w:bookmarkStart w:id="44" w:name="page45"/>
    <w:bookmarkEnd w:id="44"/>
    <w:p>
      <w:pPr>
        <w:ind w:left="660" w:hanging="328"/>
        <w:spacing w:after="0" w:line="329"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extensions or refinancings of indebtedness of the kinds described in the first, second or fourth bullet point above and all renewals or extensions of leases of the kinds described in the third or fourth bullet point above;</w:t>
      </w:r>
    </w:p>
    <w:p>
      <w:pPr>
        <w:spacing w:after="0" w:line="148"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8"/>
          <w:szCs w:val="18"/>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1431" w:right="479" w:bottom="1440" w:gutter="0" w:footer="0" w:header="0"/>
        </w:sectPr>
      </w:pPr>
    </w:p>
    <w:bookmarkStart w:id="45" w:name="page46"/>
    <w:bookmarkEnd w:id="45"/>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70" w:lineRule="exact"/>
        <w:rPr>
          <w:sz w:val="20"/>
          <w:szCs w:val="20"/>
          <w:color w:val="auto"/>
        </w:rPr>
      </w:pPr>
    </w:p>
    <w:p>
      <w:pPr>
        <w:jc w:val="both"/>
        <w:ind w:right="100"/>
        <w:spacing w:after="0" w:line="305" w:lineRule="auto"/>
        <w:rPr>
          <w:sz w:val="20"/>
          <w:szCs w:val="20"/>
          <w:color w:val="auto"/>
        </w:rPr>
      </w:pPr>
      <w:r>
        <w:rPr>
          <w:rFonts w:ascii="Times New Roman" w:cs="Times New Roman" w:eastAsia="Times New Roman" w:hAnsi="Times New Roman"/>
          <w:sz w:val="18"/>
          <w:szCs w:val="18"/>
          <w:color w:val="auto"/>
        </w:rPr>
        <w:t>A summary of the material provisions governing our share capital is described below. This summary is not complete and should be read together with the amended and restated memorandum and articles of association of the Company, which we refer to as the “Amended Articles” in this prospectus, a copy of which is included elsewhere in this registration statement.</w:t>
      </w:r>
    </w:p>
    <w:p>
      <w:pPr>
        <w:spacing w:after="0" w:line="169" w:lineRule="exact"/>
        <w:rPr>
          <w:sz w:val="20"/>
          <w:szCs w:val="20"/>
          <w:color w:val="auto"/>
        </w:rPr>
      </w:pPr>
    </w:p>
    <w:p>
      <w:pPr>
        <w:ind w:right="340"/>
        <w:spacing w:after="0" w:line="329" w:lineRule="auto"/>
        <w:rPr>
          <w:sz w:val="20"/>
          <w:szCs w:val="20"/>
          <w:color w:val="auto"/>
        </w:rPr>
      </w:pPr>
      <w:r>
        <w:rPr>
          <w:rFonts w:ascii="Times New Roman" w:cs="Times New Roman" w:eastAsia="Times New Roman" w:hAnsi="Times New Roman"/>
          <w:sz w:val="18"/>
          <w:szCs w:val="18"/>
          <w:color w:val="auto"/>
        </w:rPr>
        <w:t>The Company is a Cayman Islands exempted company with limited liability and its affairs are governed by the Amended Articles, the Cayman Islands Companies Act, and the common law of the Cayman Islands.</w:t>
      </w:r>
    </w:p>
    <w:p>
      <w:pPr>
        <w:spacing w:after="0" w:line="14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Company’s authorized share capital is US$320,000 divided into 213,333,334 shares comprised of : (i) 186,666,667 Class A Ordinary Shares, par value $0.0015 per share, (ii) 15,333,333 convertible Class B Ordinary Shares, par value $0.0015 per share (together with the Class A Ordinary Shares, the “Ordinary Shares”), and (iii) 11,333,334 shares of such class or classes (however designated) par value $0.0015 per share, as the board of directors may determine in accordance with Article 10 of the Amended Articles. All Ordinary Shares issued and outstanding as of the date of this prospectus are fully paid and non-assessable.</w:t>
      </w:r>
    </w:p>
    <w:p>
      <w:pPr>
        <w:spacing w:after="0" w:line="191"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8"/>
          <w:szCs w:val="18"/>
          <w:color w:val="auto"/>
        </w:rPr>
        <w:t>The Amended Articles became effective on May 17, 2022. The following are summaries of material provisions of the Amended Articles and the Cayman Islands Companies Act insofar as they relate to the material terms of the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70"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generally have the same rights and powers except for voting and conversion rights. The Company maintains a register of its shareholders and a shareholder will only be entitled to a share certificate if the board of directors of the Company determines that share certificates be issued.</w:t>
      </w:r>
    </w:p>
    <w:p>
      <w:pPr>
        <w:spacing w:after="0" w:line="183"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7"/>
          <w:szCs w:val="17"/>
          <w:color w:val="auto"/>
        </w:rPr>
        <w:t>Danny Yeung controls the voting power of all of the outstanding Class B Ordinary Shares. Although Mr. Yeung controls the voting power of all of the outstanding Class B Ordinary Shares, his control over those shares is not permanent and is subject to reduction or elimination at any time or after certain periods as a result of a variety of factors. As further described below, upon any transfer of Class B Ordinary Shares by a holder thereof to any person which is not a Permitted Transferee of such holder, those shares will automatically and immediately convert into Class A Ordinary Shares. In addition, all Class B Ordinary Shares will automatically convert to Class A Ordinary Shares in other events described below. See “— Optional and Mandatory Conversion.”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70"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8"/>
          <w:szCs w:val="18"/>
          <w:color w:val="auto"/>
        </w:rPr>
        <w:t>The holders of Ordinary Shares will be entitled to such dividends as the board of directors may in its discretion lawfully declare from time to time, or as shareholders may declare by ordinary resolution (provided that no dividend shall exceed the amount recommended by the board of directors).</w:t>
      </w:r>
    </w:p>
    <w:p>
      <w:pPr>
        <w:spacing w:after="0" w:line="176" w:lineRule="exact"/>
        <w:rPr>
          <w:sz w:val="20"/>
          <w:szCs w:val="20"/>
          <w:color w:val="auto"/>
        </w:rPr>
      </w:pPr>
    </w:p>
    <w:p>
      <w:pPr>
        <w:ind w:right="120"/>
        <w:spacing w:after="0" w:line="305" w:lineRule="auto"/>
        <w:rPr>
          <w:sz w:val="20"/>
          <w:szCs w:val="20"/>
          <w:color w:val="auto"/>
        </w:rPr>
      </w:pPr>
      <w:r>
        <w:rPr>
          <w:rFonts w:ascii="Times New Roman" w:cs="Times New Roman" w:eastAsia="Times New Roman" w:hAnsi="Times New Roman"/>
          <w:sz w:val="18"/>
          <w:szCs w:val="18"/>
          <w:color w:val="auto"/>
        </w:rPr>
        <w:t>Class A Ordinary Shares and Class B Ordinary Shares rank equally as to dividends and other distributions. Dividends may be paid either in cash or in specie, provided, that no dividend can be made in specie on any Class A Ordinary Shares unless a dividend in specie in equal proportion is made on Class B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00"/>
          </w:cols>
          <w:pgMar w:left="320" w:top="1440"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Holders of Ordinary Shares have the right to receive notice of, attend, speak and vote at general meetings of the shareholders. In respect of all matters upon which holders of Ordinary Shares are entitled to vote, each Class A Ordinary Share will be entitled to one (1) vote and each Class B Ordinary Share will be entitled to twenty (20) votes. At any meeting of shareholders a resolution put to the vote of the meeting shall be decided by way of a poll and not by way of a show of hands. A poll shall be taken in such manner and at such place as the chairperson of the meeting may direct (including the use of a ballot or voting papers, or tickets) and the result of a poll shall be deemed to be the resolution of the meeting.</w:t>
      </w:r>
    </w:p>
    <w:p>
      <w:pPr>
        <w:spacing w:after="0" w:line="177" w:lineRule="exact"/>
        <w:rPr>
          <w:sz w:val="20"/>
          <w:szCs w:val="20"/>
          <w:color w:val="auto"/>
        </w:rPr>
      </w:pPr>
    </w:p>
    <w:p>
      <w:pPr>
        <w:ind w:right="140"/>
        <w:spacing w:after="0" w:line="329" w:lineRule="auto"/>
        <w:rPr>
          <w:sz w:val="20"/>
          <w:szCs w:val="20"/>
          <w:color w:val="auto"/>
        </w:rPr>
      </w:pPr>
      <w:r>
        <w:rPr>
          <w:rFonts w:ascii="Times New Roman" w:cs="Times New Roman" w:eastAsia="Times New Roman" w:hAnsi="Times New Roman"/>
          <w:sz w:val="18"/>
          <w:szCs w:val="18"/>
          <w:color w:val="auto"/>
        </w:rPr>
        <w:t>Class A Ordinary Shares and Class B Ordinary Shares will vote together on all matters, except that the Company will not, without the approval of holders of a majority of the voting power of the Class B Ordinary Shares, voting exclusively and as a separate class:</w:t>
      </w:r>
    </w:p>
    <w:p>
      <w:pPr>
        <w:spacing w:after="0" w:line="148"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authorized Class B Ordinary Shares;</w:t>
      </w:r>
    </w:p>
    <w:p>
      <w:pPr>
        <w:spacing w:after="0" w:line="265" w:lineRule="exact"/>
        <w:rPr>
          <w:rFonts w:ascii="Times New Roman" w:cs="Times New Roman" w:eastAsia="Times New Roman" w:hAnsi="Times New Roman"/>
          <w:sz w:val="18"/>
          <w:szCs w:val="18"/>
          <w:color w:val="auto"/>
        </w:rPr>
      </w:pPr>
    </w:p>
    <w:p>
      <w:pPr>
        <w:ind w:left="660" w:right="80" w:hanging="328"/>
        <w:spacing w:after="0" w:line="313"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Class B Ordinary Shares or securities convertible into or exchangeable for Class B Ordinary Shares, other than to any Key Executive or his or her affiliates, or on a pro rata basis to all holders of Class B Ordinary Shares permitted to hold such shares under the Amended Articles;</w:t>
      </w:r>
    </w:p>
    <w:p>
      <w:pPr>
        <w:spacing w:after="0" w:line="175" w:lineRule="exact"/>
        <w:rPr>
          <w:rFonts w:ascii="Times New Roman" w:cs="Times New Roman" w:eastAsia="Times New Roman" w:hAnsi="Times New Roman"/>
          <w:sz w:val="18"/>
          <w:szCs w:val="18"/>
          <w:color w:val="auto"/>
        </w:rPr>
      </w:pPr>
    </w:p>
    <w:p>
      <w:pPr>
        <w:ind w:left="660" w:right="320" w:hanging="328"/>
        <w:spacing w:after="0" w:line="313"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authorize, issue, or reclassify into, any preference shares in the capital of the Company or any shares in the capital of the Company that carry more than one (1) vote per share;</w:t>
      </w:r>
    </w:p>
    <w:p>
      <w:pPr>
        <w:spacing w:after="0" w:line="175" w:lineRule="exact"/>
        <w:rPr>
          <w:rFonts w:ascii="Times New Roman" w:cs="Times New Roman" w:eastAsia="Times New Roman" w:hAnsi="Times New Roman"/>
          <w:sz w:val="18"/>
          <w:szCs w:val="18"/>
          <w:color w:val="auto"/>
        </w:rPr>
      </w:pPr>
    </w:p>
    <w:p>
      <w:pPr>
        <w:ind w:left="660" w:right="980" w:hanging="328"/>
        <w:spacing w:after="0" w:line="313"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any Class B Ordinary Shares into any other class of shares or consolidate or combine any Class B Ordinary Shares without proportionately increasing the number of votes per Class B Ordinary Share; or</w:t>
      </w:r>
    </w:p>
    <w:p>
      <w:pPr>
        <w:spacing w:after="0" w:line="175" w:lineRule="exact"/>
        <w:rPr>
          <w:rFonts w:ascii="Times New Roman" w:cs="Times New Roman" w:eastAsia="Times New Roman" w:hAnsi="Times New Roman"/>
          <w:sz w:val="18"/>
          <w:szCs w:val="18"/>
          <w:color w:val="auto"/>
        </w:rPr>
      </w:pPr>
    </w:p>
    <w:p>
      <w:pPr>
        <w:ind w:left="660" w:right="460" w:hanging="328"/>
        <w:spacing w:after="0" w:line="329"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restate, waive, adopt any provision inconsistent with or otherwise vary or alter any provision of the Amended Articles relating to the voting, conversion or other rights, powers, preferences, privileges or restrictions of the Class B Ordinary Shares.</w:t>
      </w:r>
    </w:p>
    <w:p>
      <w:pPr>
        <w:spacing w:after="0" w:line="148" w:lineRule="exact"/>
        <w:rPr>
          <w:sz w:val="20"/>
          <w:szCs w:val="20"/>
          <w:color w:val="auto"/>
        </w:rPr>
      </w:pPr>
    </w:p>
    <w:p>
      <w:pPr>
        <w:ind w:right="80"/>
        <w:spacing w:after="0" w:line="329" w:lineRule="auto"/>
        <w:rPr>
          <w:sz w:val="20"/>
          <w:szCs w:val="20"/>
          <w:color w:val="auto"/>
        </w:rPr>
      </w:pPr>
      <w:r>
        <w:rPr>
          <w:rFonts w:ascii="Times New Roman" w:cs="Times New Roman" w:eastAsia="Times New Roman" w:hAnsi="Times New Roman"/>
          <w:sz w:val="18"/>
          <w:szCs w:val="18"/>
          <w:color w:val="auto"/>
        </w:rPr>
        <w:t>An ordinary resolution to be passed by the shareholders will require a simple majority of votes cast at a meeting of shareholders, while a special resolution will require not less than two-thirds of votes cast at a meeting of shareholders.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and Mandatory Conversion</w:t>
      </w:r>
    </w:p>
    <w:p>
      <w:pPr>
        <w:spacing w:after="0" w:line="270"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8"/>
          <w:szCs w:val="18"/>
          <w:color w:val="auto"/>
        </w:rPr>
        <w:t>Each Class B Ordinary Share will be convertible into one (1) Class A Ordinary Share (as adjusted for share splits, share combinations and similar transactions occurring after the Acquisition Effective Time) at any time at the option of the holder thereof. Class A Ordinary Shares will not be convertible into Class B Ordinary Shares under any circumstances.</w:t>
      </w:r>
    </w:p>
    <w:p>
      <w:pPr>
        <w:spacing w:after="0" w:line="169" w:lineRule="exact"/>
        <w:rPr>
          <w:sz w:val="20"/>
          <w:szCs w:val="20"/>
          <w:color w:val="auto"/>
        </w:rPr>
      </w:pPr>
    </w:p>
    <w:p>
      <w:pPr>
        <w:ind w:right="580"/>
        <w:spacing w:after="0" w:line="305" w:lineRule="auto"/>
        <w:rPr>
          <w:sz w:val="20"/>
          <w:szCs w:val="20"/>
          <w:color w:val="auto"/>
        </w:rPr>
      </w:pPr>
      <w:r>
        <w:rPr>
          <w:rFonts w:ascii="Times New Roman" w:cs="Times New Roman" w:eastAsia="Times New Roman" w:hAnsi="Times New Roman"/>
          <w:sz w:val="18"/>
          <w:szCs w:val="18"/>
          <w:color w:val="auto"/>
        </w:rPr>
        <w:t>Any number of Class B Ordinary Shares held by a holder thereof will automatically and immediately be converted into an equal number of Class A Ordinary Shares (as adjusted for share splits, share combinations and similar transactions occurring after the Acquisition Effective Time) upon the occurrence of any of the following:</w:t>
      </w:r>
    </w:p>
    <w:p>
      <w:pPr>
        <w:spacing w:after="0" w:line="183" w:lineRule="exact"/>
        <w:rPr>
          <w:sz w:val="20"/>
          <w:szCs w:val="20"/>
          <w:color w:val="auto"/>
        </w:rPr>
      </w:pPr>
    </w:p>
    <w:p>
      <w:pPr>
        <w:ind w:left="660" w:right="100" w:hanging="328"/>
        <w:spacing w:after="0" w:line="305"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sale, transfer, assignment, or disposition of such number of Class B Ordinary Shares by the holder thereof or the direct or indirect transfer or assignment of the voting power attached to such number of Class B Ordinary Shares through voting proxy or otherwise to any person that is not a Permitted Transferee of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1427" w:right="359" w:bottom="1440" w:gutter="0" w:footer="0" w:header="0"/>
        </w:sectPr>
      </w:pPr>
    </w:p>
    <w:bookmarkStart w:id="47" w:name="page48"/>
    <w:bookmarkEnd w:id="47"/>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transfer, assignment, or disposition of a majority of the issued and outstanding voting securities of, or the direct or</w:t>
      </w:r>
    </w:p>
    <w:p>
      <w:pPr>
        <w:spacing w:after="0" w:line="49" w:lineRule="exact"/>
        <w:rPr>
          <w:rFonts w:ascii="Times New Roman" w:cs="Times New Roman" w:eastAsia="Times New Roman" w:hAnsi="Times New Roman"/>
          <w:sz w:val="18"/>
          <w:szCs w:val="18"/>
          <w:color w:val="auto"/>
        </w:rPr>
      </w:pPr>
    </w:p>
    <w:p>
      <w:pPr>
        <w:ind w:left="660" w:right="1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a Permitted Transferee of the such holder; or</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a holder of Class B Ordinary Shares by will or intestacy.</w:t>
      </w:r>
    </w:p>
    <w:p>
      <w:pPr>
        <w:spacing w:after="0" w:line="266"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8"/>
          <w:szCs w:val="18"/>
          <w:color w:val="auto"/>
        </w:rPr>
        <w:t>All Class B Ordinary Shares issued and outstanding will be automatically and immediately converted into an equal number of Class A Ordinary Shares upon the occurrence of any of the following:</w:t>
      </w:r>
    </w:p>
    <w:p>
      <w:pPr>
        <w:spacing w:after="0" w:line="17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Danny Yeung’s death or Incapacity;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on which Danny Yeung is terminated for cause (as defined in the employment agreement with Danny Yeung (and in the event of a</w:t>
      </w:r>
    </w:p>
    <w:p>
      <w:pPr>
        <w:spacing w:after="0" w:line="49" w:lineRule="exact"/>
        <w:rPr>
          <w:rFonts w:ascii="Times New Roman" w:cs="Times New Roman" w:eastAsia="Times New Roman" w:hAnsi="Times New Roman"/>
          <w:sz w:val="18"/>
          <w:szCs w:val="18"/>
          <w:color w:val="auto"/>
        </w:rPr>
      </w:pPr>
    </w:p>
    <w:p>
      <w:pPr>
        <w:ind w:left="660" w:right="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 regarding whether there was cause, cause will be deemed not to exist unless and until an affirmative ruling regarding such cause has been made by a court or arbitral panel of competent jurisdiction, and such ruling has become final and non- appealable); or</w:t>
      </w:r>
    </w:p>
    <w:p>
      <w:pPr>
        <w:spacing w:after="0" w:line="175" w:lineRule="exact"/>
        <w:rPr>
          <w:rFonts w:ascii="Times New Roman" w:cs="Times New Roman" w:eastAsia="Times New Roman" w:hAnsi="Times New Roman"/>
          <w:sz w:val="18"/>
          <w:szCs w:val="18"/>
          <w:color w:val="auto"/>
        </w:rPr>
      </w:pPr>
    </w:p>
    <w:p>
      <w:pPr>
        <w:ind w:left="660" w:hanging="328"/>
        <w:spacing w:after="0" w:line="289"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date that both of the following conditions are satisfied: (I) Danny Yeung and his Affiliates and Permitted Transferees together own less than thirty three per cent (33%) of the number of Class B Ordinary Shares (which for these purposes shall be deemed to include all Class B</w:t>
      </w:r>
    </w:p>
    <w:p>
      <w:pPr>
        <w:spacing w:after="0" w:line="1" w:lineRule="exact"/>
        <w:rPr>
          <w:rFonts w:ascii="Times New Roman" w:cs="Times New Roman" w:eastAsia="Times New Roman" w:hAnsi="Times New Roman"/>
          <w:sz w:val="18"/>
          <w:szCs w:val="18"/>
          <w:color w:val="auto"/>
        </w:rPr>
      </w:pPr>
    </w:p>
    <w:p>
      <w:pPr>
        <w:ind w:left="660" w:right="8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issuable upon exercise of all outstanding restricted share units to acquire Class B Ordinary Shares that are held by Danny Yeung immediately following the Acquisition Effective Time) that Danny Yeung and his Affiliates and Permitted Transferees owned immediately following the Acquisition Effective Time, as adjusted for share splits, share combinations and similar transactions occurring after the Acquisition Effective Time; and (II) Danny Yeung ceases to be a Director or officer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Class B Ordinary Shares shall be issued by the Company after conversion of all Class B Ordinary Shares into Class A Ordinary Shares.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Ordinary Shares</w:t>
      </w:r>
    </w:p>
    <w:p>
      <w:pPr>
        <w:spacing w:after="0" w:line="256"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8"/>
          <w:szCs w:val="18"/>
          <w:color w:val="auto"/>
        </w:rPr>
        <w:t>Subject to applicable laws, including securities laws, and the restrictions contained in the Amended Articles, any shareholders may transfer all or any of their Class A Ordinary Shares by an instrument of transfer in the usual or common form, in a form prescribed by NASDAQ or any other form approved by the board of directors of the Company.</w:t>
      </w:r>
    </w:p>
    <w:p>
      <w:pPr>
        <w:spacing w:after="0" w:line="183"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8"/>
          <w:szCs w:val="18"/>
          <w:color w:val="auto"/>
        </w:rPr>
        <w:t>Class B Ordinary Shares may be transferred only to a Permitted Transferee of the holder and any Class B Ordinary Shares transferred otherwise will be converted into Class A Ordinary Shares as described above. See “ — Optional and Mandatory Conversion.”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“Permitted Transferee” with respect to the Class B Ordinary Shareholders, means any or all of the following:</w:t>
      </w:r>
    </w:p>
    <w:p>
      <w:pPr>
        <w:spacing w:after="0" w:line="252"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Danny Yeung and his Permitted Entities and Permitted Transferees of each of them (each a “Key Executive”);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Key Executive’s Permitted Entities;</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or other recipient in any transfer of any Class B Ordinary Shares by any Class B Ordinary Shareholder: (i) to (A) his or her Family</w:t>
      </w:r>
    </w:p>
    <w:p>
      <w:pPr>
        <w:spacing w:after="0" w:line="49" w:lineRule="exact"/>
        <w:rPr>
          <w:rFonts w:ascii="Times New Roman" w:cs="Times New Roman" w:eastAsia="Times New Roman" w:hAnsi="Times New Roman"/>
          <w:sz w:val="18"/>
          <w:szCs w:val="18"/>
          <w:color w:val="auto"/>
        </w:rPr>
      </w:pPr>
    </w:p>
    <w:p>
      <w:pPr>
        <w:ind w:left="660" w:right="5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(B) any other relative or individual approved by the board of directors of the Company; or (C) any trust or estate planning entity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80"/>
          </w:cols>
          <w:pgMar w:left="320" w:top="1431" w:right="399" w:bottom="1440" w:gutter="0" w:footer="0" w:header="0"/>
        </w:sectPr>
      </w:pPr>
    </w:p>
    <w:bookmarkStart w:id="48" w:name="page49"/>
    <w:bookmarkEnd w:id="48"/>
    <w:p>
      <w:pPr>
        <w:ind w:left="660" w:right="140"/>
        <w:spacing w:after="0" w:line="302" w:lineRule="auto"/>
        <w:rPr>
          <w:sz w:val="20"/>
          <w:szCs w:val="20"/>
          <w:color w:val="auto"/>
        </w:rPr>
      </w:pPr>
      <w:r>
        <w:rPr>
          <w:rFonts w:ascii="Times New Roman" w:cs="Times New Roman" w:eastAsia="Times New Roman" w:hAnsi="Times New Roman"/>
          <w:sz w:val="18"/>
          <w:szCs w:val="18"/>
          <w:color w:val="auto"/>
        </w:rPr>
        <w:t>partnerships, limited companies, and limited liability companies), that is primarily for the benefit of, or the ownership interests of which are Controlled by, such Class B Ordinary Shareholder, his or her Family Members, and/or other trusts or estate planning entities described in this paragraph (c), or any entity Controlled by such Key Executive or a trust or estate planning entity; or (ii) occurring by operation of law, including in connection with divorce proceedings;</w:t>
      </w:r>
    </w:p>
    <w:p>
      <w:pPr>
        <w:spacing w:after="0" w:line="173"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charitable organization, foundation, or similar entity;</w:t>
      </w:r>
    </w:p>
    <w:p>
      <w:pPr>
        <w:spacing w:after="0" w:line="26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subsidiaries;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transfer as a result of, or in connection with, the death or incapacity of a Key Executive: any Key Executive’s Family</w:t>
      </w:r>
    </w:p>
    <w:p>
      <w:pPr>
        <w:spacing w:after="0" w:line="49" w:lineRule="exact"/>
        <w:rPr>
          <w:rFonts w:ascii="Times New Roman" w:cs="Times New Roman" w:eastAsia="Times New Roman" w:hAnsi="Times New Roman"/>
          <w:sz w:val="18"/>
          <w:szCs w:val="18"/>
          <w:color w:val="auto"/>
        </w:rPr>
      </w:pPr>
    </w:p>
    <w:p>
      <w:pPr>
        <w:jc w:val="both"/>
        <w:ind w:left="6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Members, another Class B Ordinary Shareholder, or a designee approved by majority of all directors of the Company, provided that in case of any transfer of Class B Ordinary Shares pursuant to clauses (b) through (e) above to a person who at any later time ceases to be a Permitted Transferee</w:t>
      </w:r>
    </w:p>
    <w:p>
      <w:pPr>
        <w:spacing w:after="0" w:line="1" w:lineRule="exact"/>
        <w:rPr>
          <w:rFonts w:ascii="Times New Roman" w:cs="Times New Roman" w:eastAsia="Times New Roman" w:hAnsi="Times New Roman"/>
          <w:sz w:val="18"/>
          <w:szCs w:val="18"/>
          <w:color w:val="auto"/>
        </w:rPr>
      </w:pPr>
    </w:p>
    <w:p>
      <w:pPr>
        <w:ind w:left="660" w:right="1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relevant clause, the Company shall be entitled to refuse registration of any subsequent transfer of such Class B Ordinary Shares except back to the transferor of such Class B Ordinary Shares pursuant to clauses (b) through (e) (or to a Key Executive or his or her Permitted</w:t>
      </w:r>
    </w:p>
    <w:p>
      <w:pPr>
        <w:spacing w:after="0" w:line="1" w:lineRule="exact"/>
        <w:rPr>
          <w:rFonts w:ascii="Times New Roman" w:cs="Times New Roman" w:eastAsia="Times New Roman" w:hAnsi="Times New Roman"/>
          <w:sz w:val="18"/>
          <w:szCs w:val="18"/>
          <w:color w:val="auto"/>
        </w:rPr>
      </w:pPr>
    </w:p>
    <w:p>
      <w:pPr>
        <w:ind w:left="660" w:right="1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Transferees) and in the absence of such transfer back to the transferor (or to a Key Executive or his or her Permitted Transferees), the applicable Class B Ordinary Shares shall be subject to mandatory conversion as set out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“Permitted Entity” with respect to any Key Executive means:</w:t>
      </w:r>
    </w:p>
    <w:p>
      <w:pPr>
        <w:spacing w:after="0" w:line="252" w:lineRule="exact"/>
        <w:rPr>
          <w:sz w:val="20"/>
          <w:szCs w:val="20"/>
          <w:color w:val="auto"/>
        </w:rPr>
      </w:pPr>
    </w:p>
    <w:p>
      <w:pPr>
        <w:ind w:left="660" w:right="40" w:hanging="328"/>
        <w:spacing w:after="0" w:line="314" w:lineRule="auto"/>
        <w:tabs>
          <w:tab w:leader="none" w:pos="65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in respect of which such Key Executive has, directly or indirectly: (i) control with respect to the voting of all the Class B Ordinary Shares held by or to be transferred to such person; (ii) the ability to direct or cause the direction of the management and policies of such person or</w:t>
      </w:r>
    </w:p>
    <w:p>
      <w:pPr>
        <w:spacing w:after="0" w:line="1" w:lineRule="exact"/>
        <w:rPr>
          <w:rFonts w:ascii="Times New Roman" w:cs="Times New Roman" w:eastAsia="Times New Roman" w:hAnsi="Times New Roman"/>
          <w:sz w:val="17"/>
          <w:szCs w:val="17"/>
          <w:color w:val="auto"/>
        </w:rPr>
      </w:pPr>
    </w:p>
    <w:p>
      <w:pPr>
        <w:ind w:left="660" w:right="38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other person having the authority referred to in the preceding clause (a)(i) (whether by contract, as executor, trustee, trust protector or otherwise); or (iii) the operational or practical control of such person, including through the right to appoint, designate, remove or replace the person having the authority referred to in the preceding clauses (a)(i) or (ii);</w:t>
      </w:r>
    </w:p>
    <w:p>
      <w:pPr>
        <w:spacing w:after="0" w:line="169" w:lineRule="exact"/>
        <w:rPr>
          <w:rFonts w:ascii="Times New Roman" w:cs="Times New Roman" w:eastAsia="Times New Roman" w:hAnsi="Times New Roman"/>
          <w:sz w:val="17"/>
          <w:szCs w:val="17"/>
          <w:color w:val="auto"/>
        </w:rPr>
      </w:pPr>
    </w:p>
    <w:p>
      <w:pPr>
        <w:ind w:left="660" w:right="220" w:hanging="328"/>
        <w:spacing w:after="0" w:line="329"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the beneficiaries of which consist primarily of a Key Executive, his or her Family Members, and/or any persons Controlled directly or indirectly Controlled by such a trust; and</w:t>
      </w:r>
    </w:p>
    <w:p>
      <w:pPr>
        <w:spacing w:after="0" w:line="14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Controlled by a trust described in the immediately preceding clause (b).</w:t>
      </w:r>
    </w:p>
    <w:p>
      <w:pPr>
        <w:spacing w:after="0" w:line="266"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“Family Member” means the following individuals: the applicable individual, the spouse of the applicable individual (including former spouses), the parents of the applicable individual, the lineal descendants of the applicable individual, the siblings of the applicable individual, and the lineal descendants of a sibling of the applicable individual. For purposes of the preceding sentence, the descendants of any individual shall include adopted individuals and their issue but only if the adopted individual was adopted prior to attaining age 18.</w:t>
      </w:r>
    </w:p>
    <w:p>
      <w:pPr>
        <w:spacing w:after="0" w:line="190" w:lineRule="exact"/>
        <w:rPr>
          <w:sz w:val="20"/>
          <w:szCs w:val="20"/>
          <w:color w:val="auto"/>
        </w:rPr>
      </w:pPr>
    </w:p>
    <w:p>
      <w:pPr>
        <w:jc w:val="both"/>
        <w:ind w:right="280"/>
        <w:spacing w:after="0" w:line="297" w:lineRule="auto"/>
        <w:rPr>
          <w:sz w:val="20"/>
          <w:szCs w:val="20"/>
          <w:color w:val="auto"/>
        </w:rPr>
      </w:pPr>
      <w:r>
        <w:rPr>
          <w:rFonts w:ascii="Times New Roman" w:cs="Times New Roman" w:eastAsia="Times New Roman" w:hAnsi="Times New Roman"/>
          <w:sz w:val="18"/>
          <w:szCs w:val="18"/>
          <w:color w:val="auto"/>
        </w:rPr>
        <w:t>“Controlled” means directly or indirectly: (i) the ownership or control of a majority of the outstanding voting securities of such person; (ii) the right to control the exercise of a majority of the votes at a meeting of the board of directors (or equivalent governing body) of such person; or (iii) the ability to direct or cause the direction of the management and policies of such person (whether by contract, through other legally enforceable rights or howsoever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320" w:top="1431" w:right="379" w:bottom="1440" w:gutter="0" w:footer="0" w:header="0"/>
        </w:sectPr>
      </w:pPr>
    </w:p>
    <w:bookmarkStart w:id="49" w:name="page50"/>
    <w:bookmarkEnd w:id="49"/>
    <w:p>
      <w:pPr>
        <w:ind w:right="60"/>
        <w:spacing w:after="0" w:line="329" w:lineRule="auto"/>
        <w:rPr>
          <w:sz w:val="20"/>
          <w:szCs w:val="20"/>
          <w:color w:val="auto"/>
        </w:rPr>
      </w:pPr>
      <w:r>
        <w:rPr>
          <w:rFonts w:ascii="Times New Roman" w:cs="Times New Roman" w:eastAsia="Times New Roman" w:hAnsi="Times New Roman"/>
          <w:sz w:val="18"/>
          <w:szCs w:val="18"/>
          <w:color w:val="auto"/>
        </w:rPr>
        <w:t>The board of directors of the Company may decline to register any transfer of any share in the event that any of the following is known by the directors not to be both applicable and true with respect to such transfer:</w:t>
      </w:r>
    </w:p>
    <w:p>
      <w:pPr>
        <w:spacing w:after="0" w:line="148"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or the Company’s designated transfer agent or share registrar, accompanied by the</w:t>
      </w:r>
    </w:p>
    <w:p>
      <w:pPr>
        <w:spacing w:after="0" w:line="49" w:lineRule="exact"/>
        <w:rPr>
          <w:rFonts w:ascii="Times New Roman" w:cs="Times New Roman" w:eastAsia="Times New Roman" w:hAnsi="Times New Roman"/>
          <w:sz w:val="18"/>
          <w:szCs w:val="18"/>
          <w:color w:val="auto"/>
        </w:rPr>
      </w:pPr>
    </w:p>
    <w:p>
      <w:pPr>
        <w:ind w:left="660" w:righ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for the shares to which it relates (if any) and such other evidence as the board of directors of the Company may reasonably require to show the right of the transferor to make the transfer;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65" w:lineRule="exact"/>
        <w:rPr>
          <w:rFonts w:ascii="Times New Roman" w:cs="Times New Roman" w:eastAsia="Times New Roman" w:hAnsi="Times New Roman"/>
          <w:sz w:val="18"/>
          <w:szCs w:val="18"/>
          <w:color w:val="auto"/>
        </w:rPr>
      </w:pPr>
    </w:p>
    <w:p>
      <w:pPr>
        <w:ind w:left="660" w:right="500" w:hanging="328"/>
        <w:spacing w:after="0" w:line="313"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shares are fully paid up and free of any lien in favor of the Company (it being understood and agreed that all other liens, e.g., pursuant to a bona fide loan or indebtedness transaction, shall be permitted); or</w:t>
      </w:r>
    </w:p>
    <w:p>
      <w:pPr>
        <w:spacing w:after="0" w:line="175" w:lineRule="exact"/>
        <w:rPr>
          <w:rFonts w:ascii="Times New Roman" w:cs="Times New Roman" w:eastAsia="Times New Roman" w:hAnsi="Times New Roman"/>
          <w:sz w:val="18"/>
          <w:szCs w:val="18"/>
          <w:color w:val="auto"/>
        </w:rPr>
      </w:pPr>
    </w:p>
    <w:p>
      <w:pPr>
        <w:ind w:left="660" w:right="300" w:hanging="328"/>
        <w:spacing w:after="0" w:line="313"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NASDAQ may determine to be payable, or such lesser sum as the board of directors of the Company may from time to time require, is paid to the Company in respect thereof.</w:t>
      </w:r>
    </w:p>
    <w:p>
      <w:pPr>
        <w:spacing w:after="0" w:line="176" w:lineRule="exact"/>
        <w:rPr>
          <w:sz w:val="20"/>
          <w:szCs w:val="20"/>
          <w:color w:val="auto"/>
        </w:rPr>
      </w:pPr>
    </w:p>
    <w:p>
      <w:pPr>
        <w:ind w:right="200"/>
        <w:spacing w:after="0" w:line="305" w:lineRule="auto"/>
        <w:rPr>
          <w:sz w:val="20"/>
          <w:szCs w:val="20"/>
          <w:color w:val="auto"/>
        </w:rPr>
      </w:pPr>
      <w:r>
        <w:rPr>
          <w:rFonts w:ascii="Times New Roman" w:cs="Times New Roman" w:eastAsia="Times New Roman" w:hAnsi="Times New Roman"/>
          <w:sz w:val="18"/>
          <w:szCs w:val="18"/>
          <w:color w:val="auto"/>
        </w:rPr>
        <w:t>If the board of directors of the Company refuses to register a transfer they shall, within two months after the date on which the instrument of transfer was lodged, send to each of the transferor and the transferee notice of such refusal stating the facts which are considered to justify the refusal to register the transfer.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70"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8"/>
          <w:szCs w:val="18"/>
          <w:color w:val="auto"/>
        </w:rPr>
        <w:t>The Class A Ordinary Shares and Class B Ordinary Shares will rank equally upon the occurrence of any liquidation, dissolution or winding up of the Company, in the event of which the Company’s assets will be distributed to, or the losses will be borne by, shareholders in proportion to the par value of the shares held by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p>
    <w:p>
      <w:pPr>
        <w:spacing w:after="0" w:line="256" w:lineRule="exact"/>
        <w:rPr>
          <w:sz w:val="20"/>
          <w:szCs w:val="20"/>
          <w:color w:val="auto"/>
        </w:rPr>
      </w:pPr>
    </w:p>
    <w:p>
      <w:pPr>
        <w:ind w:right="660"/>
        <w:spacing w:after="0" w:line="329" w:lineRule="auto"/>
        <w:rPr>
          <w:sz w:val="20"/>
          <w:szCs w:val="20"/>
          <w:color w:val="auto"/>
        </w:rPr>
      </w:pPr>
      <w:r>
        <w:rPr>
          <w:rFonts w:ascii="Times New Roman" w:cs="Times New Roman" w:eastAsia="Times New Roman" w:hAnsi="Times New Roman"/>
          <w:sz w:val="18"/>
          <w:szCs w:val="18"/>
          <w:color w:val="auto"/>
        </w:rPr>
        <w:t>The board of directors of the Company may from time to time make calls upon shareholders for any amounts unpaid on their Ordinary Shares. The Ordinary Shares that have been called upon and remain unpaid are, after a notice period, subject to forfeiture.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Ordinary Shares</w:t>
      </w:r>
    </w:p>
    <w:p>
      <w:pPr>
        <w:spacing w:after="0" w:line="270" w:lineRule="exact"/>
        <w:rPr>
          <w:sz w:val="20"/>
          <w:szCs w:val="20"/>
          <w:color w:val="auto"/>
        </w:rPr>
      </w:pPr>
    </w:p>
    <w:p>
      <w:pPr>
        <w:jc w:val="both"/>
        <w:ind w:right="100"/>
        <w:spacing w:after="0" w:line="305" w:lineRule="auto"/>
        <w:rPr>
          <w:sz w:val="20"/>
          <w:szCs w:val="20"/>
          <w:color w:val="auto"/>
        </w:rPr>
      </w:pPr>
      <w:r>
        <w:rPr>
          <w:rFonts w:ascii="Times New Roman" w:cs="Times New Roman" w:eastAsia="Times New Roman" w:hAnsi="Times New Roman"/>
          <w:sz w:val="18"/>
          <w:szCs w:val="18"/>
          <w:color w:val="auto"/>
        </w:rPr>
        <w:t>Subject to the provisions of the Cayman Islands Companies Act, the Company may issue shares that are to be redeemed or are liable to be redeemed at the option of the shareholder or the Company. The redemption of such shares will be effected in such manner and upon such other terms as the Company may, by either resolution of the board of directors of the Company or special resolution of shareholders, determine before the issue of the shares.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70"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Subject to certain Amended Articles provisions governing the Class B Ordinary Shares, if at any time the share capital of the Company is divided into different classes of shares, the rights attached to any class (unless otherwise provided by the terms of issue of the shares of that class) may be varied without the consent of the holders of the issued shares of that class where such variation is considered by the directors not to have a material adverse effect upon such rights. Otherwise, any such variation will be made only with the consent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31" w:right="339" w:bottom="1440" w:gutter="0" w:footer="0" w:header="0"/>
        </w:sectPr>
      </w:pPr>
    </w:p>
    <w:bookmarkStart w:id="50" w:name="page51"/>
    <w:bookmarkEnd w:id="50"/>
    <w:p>
      <w:pPr>
        <w:ind w:right="80"/>
        <w:spacing w:after="0" w:line="329" w:lineRule="auto"/>
        <w:rPr>
          <w:sz w:val="20"/>
          <w:szCs w:val="20"/>
          <w:color w:val="auto"/>
        </w:rPr>
      </w:pPr>
      <w:r>
        <w:rPr>
          <w:rFonts w:ascii="Times New Roman" w:cs="Times New Roman" w:eastAsia="Times New Roman" w:hAnsi="Times New Roman"/>
          <w:sz w:val="18"/>
          <w:szCs w:val="18"/>
          <w:color w:val="auto"/>
        </w:rPr>
        <w:t>writing of the holders of not less than two-thirds of the issued shares of that class, or with the approval of a resolution passed by a majority of not less than two-thirds of the votes cast at a separate meeting of the holders of the shares of that class.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270"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The Company will hold an annual general meeting at such time and place as the board of directors of the Company will determine. The board of directors of the Company may call extraordinary general meetings whenever they think fit, and must convene an extraordinary general meeting upon the requisition of (a) shareholders holding at least one third of the votes that may be cast at such meeting, or (b) the holders of Class B Ordinary Shares entitled to cast a majority of the votes that all Class B Ordinary Shares are entitled to cast. At least seven (7) calendar days’ notice in writing shall be given for any general meeting.</w:t>
      </w:r>
    </w:p>
    <w:p>
      <w:pPr>
        <w:spacing w:after="0" w:line="177"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8"/>
          <w:szCs w:val="18"/>
          <w:color w:val="auto"/>
        </w:rPr>
        <w:t>One or more shareholders holding not less than one-third of the total issued share capital of the Company in issue present in person or by proxy and entitled to vote will be a quorum for all purposes, provided that, from and after the Acquisition Effective Time where Class B Ordinary Shares are in issue, the presence in person or by proxy of holders of a majority of Class B Ordinary Shares will be required in any event.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56"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8"/>
          <w:szCs w:val="18"/>
          <w:color w:val="auto"/>
        </w:rPr>
        <w:t>The board of directors of the Company will determine whether, to what extent, at what times and places and under what conditions or articles the accounts and books of the Company will be open to the inspection by shareholders, and no shareholder (not being a director of the Company) will otherwise have any right of inspecting any account or book or document of the Company except as required by the Cayman Islands Companies Act or authorized by ordinary resolution of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from time to time by ordinary resolution, subject to the rights of holders of Class B Ordinary Shares:</w:t>
      </w:r>
    </w:p>
    <w:p>
      <w:pPr>
        <w:spacing w:after="0" w:line="266"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such sum, to be divided into shares of such amount, as the resolution will prescribe;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a larger amount than existing shares;</w:t>
      </w:r>
    </w:p>
    <w:p>
      <w:pPr>
        <w:spacing w:after="0" w:line="265" w:lineRule="exact"/>
        <w:rPr>
          <w:rFonts w:ascii="Times New Roman" w:cs="Times New Roman" w:eastAsia="Times New Roman" w:hAnsi="Times New Roman"/>
          <w:sz w:val="18"/>
          <w:szCs w:val="18"/>
          <w:color w:val="auto"/>
        </w:rPr>
      </w:pPr>
    </w:p>
    <w:p>
      <w:pPr>
        <w:jc w:val="both"/>
        <w:ind w:left="660" w:right="100" w:hanging="328"/>
        <w:spacing w:after="0" w:line="305"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169"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48" w:lineRule="exact"/>
        <w:rPr>
          <w:sz w:val="20"/>
          <w:szCs w:val="20"/>
          <w:color w:val="auto"/>
        </w:rPr>
      </w:pPr>
    </w:p>
    <w:p>
      <w:pPr>
        <w:ind w:right="100"/>
        <w:spacing w:after="0" w:line="329" w:lineRule="auto"/>
        <w:rPr>
          <w:sz w:val="20"/>
          <w:szCs w:val="20"/>
          <w:color w:val="auto"/>
        </w:rPr>
      </w:pPr>
      <w:r>
        <w:rPr>
          <w:rFonts w:ascii="Times New Roman" w:cs="Times New Roman" w:eastAsia="Times New Roman" w:hAnsi="Times New Roman"/>
          <w:sz w:val="18"/>
          <w:szCs w:val="18"/>
          <w:color w:val="auto"/>
        </w:rPr>
        <w:t>Subject to the rights of Class B Ordinary Shares, the Company may by special resolution reduce its share capital or any capital redemption reserve fund in any manner permitted by law.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70"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8"/>
          <w:szCs w:val="18"/>
          <w:color w:val="auto"/>
        </w:rPr>
        <w:t>Following the Business Combination, each Artisan Warrant outstanding immediately prior to the Business Combination was assumed by the Company and converted into a Warrant entitling the holder thereof to purchase such number of Class A Ordinary Share equal to the Class A Exchange Ratio upon exercise. Each</w:t>
      </w:r>
    </w:p>
    <w:p>
      <w:pPr>
        <w:sectPr>
          <w:pgSz w:w="11900" w:h="16838" w:orient="portrait"/>
          <w:cols w:equalWidth="0" w:num="1">
            <w:col w:w="11220"/>
          </w:cols>
          <w:pgMar w:left="320" w:top="14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431" w:right="359" w:bottom="1440" w:gutter="0" w:footer="0" w:header="0"/>
          <w:type w:val="continuous"/>
        </w:sectPr>
      </w:pPr>
    </w:p>
    <w:bookmarkStart w:id="51" w:name="page52"/>
    <w:bookmarkEnd w:id="51"/>
    <w:p>
      <w:pPr>
        <w:ind w:right="200"/>
        <w:spacing w:after="0" w:line="329" w:lineRule="auto"/>
        <w:rPr>
          <w:sz w:val="20"/>
          <w:szCs w:val="20"/>
          <w:color w:val="auto"/>
        </w:rPr>
      </w:pPr>
      <w:r>
        <w:rPr>
          <w:rFonts w:ascii="Times New Roman" w:cs="Times New Roman" w:eastAsia="Times New Roman" w:hAnsi="Times New Roman"/>
          <w:sz w:val="18"/>
          <w:szCs w:val="18"/>
          <w:color w:val="auto"/>
        </w:rPr>
        <w:t>Warrant continues to have and be subject to substantially the same terms and conditions as were applicable to such Artisan Warrant immediately prior to the consummation of the Business Combination (including any repurchase rights and cashless exercise provisions).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70"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We are authorized to issue “blank check” preferred shares,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shares. The authorized shares of our preferred shares are available for issuance without further action by our shareholders, unless such action is required by applicable law or the rules of any shares exchange on which our securities may be listed. If the approval of our shareholders is not required for the issuance of shares of our preferred shares, our board may determine not to seek shareholder approval. The specific terms of any series of preferred shares offered pursuant to this prospectus will be described in the prospectus supplement relating to that series of preferred shares.</w:t>
      </w:r>
    </w:p>
    <w:p>
      <w:pPr>
        <w:spacing w:after="0" w:line="18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A series of our preferred shares could, depending on the terms of such series, impede the completion of a merger, tender offer or other takeover attempt. Our board of directors will make any determination to issue preferred shares based upon its judgment as to the best interests of our shareholders. Our directors, in so acting, could issue preferred shares having terms that could discourage an acquisition attempt through which an acquirer may be able to change the composition of our board of directors, including a tender offer or other transaction that some, or a majority, of our shareholders might believe to be in their best interests or in which shareholders might receive a premium for their stock over the then-current market price of the stock.</w:t>
      </w:r>
    </w:p>
    <w:p>
      <w:pPr>
        <w:spacing w:after="0" w:line="191" w:lineRule="exact"/>
        <w:rPr>
          <w:sz w:val="20"/>
          <w:szCs w:val="20"/>
          <w:color w:val="auto"/>
        </w:rPr>
      </w:pPr>
    </w:p>
    <w:p>
      <w:pPr>
        <w:ind w:right="420"/>
        <w:spacing w:after="0" w:line="329" w:lineRule="auto"/>
        <w:rPr>
          <w:sz w:val="20"/>
          <w:szCs w:val="20"/>
          <w:color w:val="auto"/>
        </w:rPr>
      </w:pPr>
      <w:r>
        <w:rPr>
          <w:rFonts w:ascii="Times New Roman" w:cs="Times New Roman" w:eastAsia="Times New Roman" w:hAnsi="Times New Roman"/>
          <w:sz w:val="18"/>
          <w:szCs w:val="18"/>
          <w:color w:val="auto"/>
        </w:rPr>
        <w:t>The preferred shares has the terms described below unless otherwise provided in the prospectus supplement relating to a particular series of preferred shares. You should read the prospectus supplement relating to the particular series of preferred shares being offered for specific terms, including:</w:t>
      </w:r>
    </w:p>
    <w:p>
      <w:pPr>
        <w:spacing w:after="0" w:line="148"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per share of the preferred shares and the number of shares offered;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liquidation preference per share;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shares will be issued;</w:t>
      </w:r>
    </w:p>
    <w:p>
      <w:pPr>
        <w:spacing w:after="0" w:line="265" w:lineRule="exact"/>
        <w:rPr>
          <w:rFonts w:ascii="Times New Roman" w:cs="Times New Roman" w:eastAsia="Times New Roman" w:hAnsi="Times New Roman"/>
          <w:sz w:val="18"/>
          <w:szCs w:val="18"/>
          <w:color w:val="auto"/>
        </w:rPr>
      </w:pPr>
    </w:p>
    <w:p>
      <w:pPr>
        <w:ind w:left="660" w:right="220" w:hanging="328"/>
        <w:spacing w:after="0" w:line="313"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252" w:lineRule="exact"/>
        <w:rPr>
          <w:rFonts w:ascii="Times New Roman" w:cs="Times New Roman" w:eastAsia="Times New Roman" w:hAnsi="Times New Roman"/>
          <w:sz w:val="18"/>
          <w:szCs w:val="18"/>
          <w:color w:val="auto"/>
        </w:rPr>
      </w:pPr>
    </w:p>
    <w:p>
      <w:pPr>
        <w:ind w:left="660" w:right="680" w:hanging="328"/>
        <w:spacing w:after="0" w:line="329"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including composite currencies in which the preferred shares is denominated and/or in which payments will or may be payable;</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provisions;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elected to offer depositary shares as described under “Description of Depositary Shares;”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privileges, limitations and restrictions on the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80"/>
          </w:cols>
          <w:pgMar w:left="320" w:top="1431" w:right="399" w:bottom="1440" w:gutter="0" w:footer="0" w:header="0"/>
        </w:sectPr>
      </w:pPr>
    </w:p>
    <w:bookmarkStart w:id="52" w:name="page53"/>
    <w:bookmarkEnd w:id="52"/>
    <w:p>
      <w:pPr>
        <w:ind w:right="80"/>
        <w:spacing w:after="0" w:line="305" w:lineRule="auto"/>
        <w:rPr>
          <w:sz w:val="20"/>
          <w:szCs w:val="20"/>
          <w:color w:val="auto"/>
        </w:rPr>
      </w:pPr>
      <w:r>
        <w:rPr>
          <w:rFonts w:ascii="Times New Roman" w:cs="Times New Roman" w:eastAsia="Times New Roman" w:hAnsi="Times New Roman"/>
          <w:sz w:val="18"/>
          <w:szCs w:val="18"/>
          <w:color w:val="auto"/>
        </w:rPr>
        <w:t>The preferred shares will, when issued, be fully paid and non-assessable. Unless otherwise specified in the prospectus supplement, each series of preferred shares will rank equally as to dividends and liquidation rights in all respects with each other series of preferred shares. The rights of holders of shares of each series of preferred shares will be subordinate to those of our general creditors.</w:t>
      </w:r>
    </w:p>
    <w:p>
      <w:pPr>
        <w:spacing w:after="0" w:line="183"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8"/>
          <w:szCs w:val="18"/>
          <w:color w:val="auto"/>
        </w:rPr>
        <w:t>As described under “Description of Depositary Shares,” we may, at our option, with respect to any series of preferred shares, elect to offer fractional interests in shares of preferred shares, and provide for the issuance of depositary receipts representing depositary shares, each of which will represent a fractional interest in a share of the series of preferred shares. The fractional interest will be specified in the prospectus supplement relating to a particular series of preferred shares.</w:t>
      </w:r>
    </w:p>
    <w:p>
      <w:pPr>
        <w:spacing w:after="0" w:line="188" w:lineRule="exact"/>
        <w:rPr>
          <w:sz w:val="20"/>
          <w:szCs w:val="20"/>
          <w:color w:val="auto"/>
        </w:rPr>
      </w:pPr>
    </w:p>
    <w:p>
      <w:pPr>
        <w:ind w:right="260"/>
        <w:spacing w:after="0" w:line="315" w:lineRule="auto"/>
        <w:rPr>
          <w:sz w:val="20"/>
          <w:szCs w:val="20"/>
          <w:color w:val="auto"/>
        </w:rPr>
      </w:pPr>
      <w:r>
        <w:rPr>
          <w:rFonts w:ascii="Times New Roman" w:cs="Times New Roman" w:eastAsia="Times New Roman" w:hAnsi="Times New Roman"/>
          <w:sz w:val="18"/>
          <w:szCs w:val="18"/>
          <w:i w:val="1"/>
          <w:iCs w:val="1"/>
          <w:color w:val="auto"/>
        </w:rPr>
        <w:t>Rank</w:t>
      </w:r>
      <w:r>
        <w:rPr>
          <w:rFonts w:ascii="Times New Roman" w:cs="Times New Roman" w:eastAsia="Times New Roman" w:hAnsi="Times New Roman"/>
          <w:sz w:val="18"/>
          <w:szCs w:val="18"/>
          <w:color w:val="auto"/>
        </w:rPr>
        <w:t>. Unless otherwise specified in the prospectus supplement, the preferred shares will, with respect to dividend rights and rights upon our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or winding up of our affairs, rank:</w:t>
      </w:r>
    </w:p>
    <w:p>
      <w:pPr>
        <w:spacing w:after="0" w:line="174" w:lineRule="exact"/>
        <w:rPr>
          <w:sz w:val="20"/>
          <w:szCs w:val="20"/>
          <w:color w:val="auto"/>
        </w:rPr>
      </w:pPr>
    </w:p>
    <w:p>
      <w:pPr>
        <w:ind w:left="660" w:right="220" w:hanging="328"/>
        <w:spacing w:after="0" w:line="313"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our common stock and to all equity securities ranking junior to such preferred shares with respect to dividend rights or rights upon our liquidation, dissolution or winding up of our affairs;</w:t>
      </w:r>
    </w:p>
    <w:p>
      <w:pPr>
        <w:spacing w:after="0" w:line="175" w:lineRule="exact"/>
        <w:rPr>
          <w:rFonts w:ascii="Times New Roman" w:cs="Times New Roman" w:eastAsia="Times New Roman" w:hAnsi="Times New Roman"/>
          <w:sz w:val="18"/>
          <w:szCs w:val="18"/>
          <w:color w:val="auto"/>
        </w:rPr>
      </w:pPr>
    </w:p>
    <w:p>
      <w:pPr>
        <w:ind w:left="660" w:right="440" w:hanging="328"/>
        <w:spacing w:after="0" w:line="313"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the terms of which specifically provide that such equity securities rank on a parity with the preferred shares with respect to dividend rights or rights upon our liquidation, dissolution or winding up of our affairs; and</w:t>
      </w:r>
    </w:p>
    <w:p>
      <w:pPr>
        <w:spacing w:after="0" w:line="175" w:lineRule="exact"/>
        <w:rPr>
          <w:rFonts w:ascii="Times New Roman" w:cs="Times New Roman" w:eastAsia="Times New Roman" w:hAnsi="Times New Roman"/>
          <w:sz w:val="18"/>
          <w:szCs w:val="18"/>
          <w:color w:val="auto"/>
        </w:rPr>
      </w:pPr>
    </w:p>
    <w:p>
      <w:pPr>
        <w:ind w:left="660" w:right="280" w:hanging="328"/>
        <w:spacing w:after="0" w:line="313"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the terms of which specifically provide that such equity securities rank senior to the preferred shares with respect to dividend rights or rights upon our liquidation, dissolution or winding up of our affairs.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26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preferred shares of each series will be entitled to receive, when, as and if declared by our board of directors, cash dividends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rates and on such dates described in the prospectus supplement. Different series of preferred shares may be entitled to dividends at different rates or based on different methods of calculation. The dividend rate may be fixed or variable or both. The dividend rate may vary based on the price of Bitcoin, the ratio of Bitcoin we hold compared to our outstanding indebtedness or other reference metrics tied to the price of Bitcoin or our holdings of Bitcoin. Dividends will be payable to the holders of record as they appear on our stock books on record dates fixed by our board of directors, as specified in the applicable prospectus supplement.</w:t>
      </w:r>
    </w:p>
    <w:p>
      <w:pPr>
        <w:spacing w:after="0" w:line="195"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8"/>
          <w:szCs w:val="18"/>
          <w:color w:val="auto"/>
        </w:rPr>
        <w:t>Dividends on any series of preferred shares may be cumulative or noncumulative, as described in the applicable prospectus supplement. If our board of directors does not declare a dividend payable on a dividend payment date on any series of noncumulative preferred shares, then the holders of that noncumulative preferred shares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shares will accrue from the date we initially issue shares of such series or such other date specified in the applicable prospectus supplement.</w:t>
      </w:r>
    </w:p>
    <w:p>
      <w:pPr>
        <w:spacing w:after="0" w:line="193"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any dividends on any parity securities unless full dividends have been paid or set apart for payment on the preferred shares. If full dividends are not paid, the preferred shares will share dividends pro rata with the parity securities.</w:t>
      </w:r>
    </w:p>
    <w:p>
      <w:pPr>
        <w:spacing w:after="0" w:line="176"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dividends on any junior securities unless full dividends for all dividend periods terminating on or prior to the date of the declaration or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143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will have been paid or declared and a sum sufficient for the payment set apart for payment on the preferred shares.</w:t>
      </w:r>
    </w:p>
    <w:p>
      <w:pPr>
        <w:spacing w:after="0" w:line="26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Upon any voluntary or involuntary liquidation, dissolution or winding up of our affairs, then, before we make any distribution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to the holders of any common stock or any other class or series of our capital stock ranking junior to the preferred shares in the distribution of assets upon any liquidation, dissolution or winding up of our affairs, the holders of each series of preferred shares shall be entitled to receive out of assets legally available for distribution to shareholders,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shares will have no right or claim to any of our remaining assets. Upon any such voluntary or involuntary liquidation, dissolution or winding up, if our available assets are insufficient to pay the amount of the liquidating distributions on all outstanding preferred shares and the corresponding amounts payable on all other classes or series of our capital stock ranking on parity with the preferred shares and all other such classes or series of shares of capital stock ranking on parity with the preferred shares in the distribution of assets, then the holders of the preferred shares and all other such classes or series of capital stock ranking on parity with the preferred shares will share ratably in any such distribution of assets in proportion to the full liquidating distributions to which they would otherwise be entitled.</w:t>
      </w:r>
    </w:p>
    <w:p>
      <w:pPr>
        <w:spacing w:after="0" w:line="20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Upon any such liquidation, dissolution or winding up and if we have made liquidating distributions in full to all holders of preferred shares, we will distribute our remaining assets among the holders of any other classes or series of capital stock ranking junior to the preferred shares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9" w:lineRule="exact"/>
        <w:rPr>
          <w:sz w:val="20"/>
          <w:szCs w:val="20"/>
          <w:color w:val="auto"/>
        </w:rPr>
      </w:pPr>
    </w:p>
    <w:p>
      <w:pPr>
        <w:ind w:right="360"/>
        <w:spacing w:after="0" w:line="315"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If so provided in the applicable prospectus supplement, the preferred shares will be subject to mandatory redemption or redemption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as a whole or in part, in each case upon the terms, at the times and at the redemption prices set forth in such prospectus supplement.</w:t>
      </w:r>
    </w:p>
    <w:p>
      <w:pPr>
        <w:spacing w:after="0" w:line="174"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8"/>
          <w:szCs w:val="18"/>
          <w:color w:val="auto"/>
        </w:rPr>
        <w:t>The prospectus supplement relating to a series of preferred shares that is subject to mandatory redemption will specify the number of shares of preferred shares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shares of any series is payable only from the net proceeds of the issuance of shares of our capital stock, the terms of such preferred shares may provide that, if no such shares of our capital stock shall have been issued or to the extent the net proceeds from any issuance are insufficient to pay in full the aggregate redemption price then due, such preferred shares shall automatically and mandatorily be converted into the applicable shares of our capital stock pursuant to conversion provisions specified in the applicable prospectus supplement. Notwithstanding the foregoing, we will not redeem any preferred shares of a series unless:</w:t>
      </w:r>
    </w:p>
    <w:p>
      <w:pPr>
        <w:spacing w:after="0" w:line="183" w:lineRule="exact"/>
        <w:rPr>
          <w:sz w:val="20"/>
          <w:szCs w:val="20"/>
          <w:color w:val="auto"/>
        </w:rPr>
      </w:pPr>
    </w:p>
    <w:p>
      <w:pPr>
        <w:ind w:left="660" w:right="80" w:hanging="328"/>
        <w:spacing w:after="0" w:line="329"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shares has a cumulative dividend, we have declared and paid or contemporaneously declare and pay or set aside funds to pay full cumulative dividends on the preferred shares for all past dividend periods and the then current dividend period;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31" w:right="339" w:bottom="1440" w:gutter="0" w:footer="0" w:header="0"/>
        </w:sectPr>
      </w:pPr>
    </w:p>
    <w:bookmarkStart w:id="54" w:name="page55"/>
    <w:bookmarkEnd w:id="54"/>
    <w:p>
      <w:pPr>
        <w:ind w:left="660" w:right="300" w:hanging="328"/>
        <w:spacing w:after="0" w:line="329"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shares does not have a cumulative dividend, we have declared and paid or contemporaneously declare and pay or set aside funds to pay full dividends for the then current dividend period.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will not acquire any preferred shares of a series unless:</w:t>
      </w:r>
    </w:p>
    <w:p>
      <w:pPr>
        <w:spacing w:after="0" w:line="266" w:lineRule="exact"/>
        <w:rPr>
          <w:sz w:val="20"/>
          <w:szCs w:val="20"/>
          <w:color w:val="auto"/>
        </w:rPr>
      </w:pPr>
    </w:p>
    <w:p>
      <w:pPr>
        <w:ind w:left="660" w:right="60" w:hanging="328"/>
        <w:spacing w:after="0" w:line="305"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shares has a cumulative dividend, we have declared and paid or contemporaneously declare and pay or set aside funds to pay full cumulative dividends on all outstanding shares of such series of preferred shares for all past dividend periods and the then current dividend period; or</w:t>
      </w:r>
    </w:p>
    <w:p>
      <w:pPr>
        <w:spacing w:after="0" w:line="169" w:lineRule="exact"/>
        <w:rPr>
          <w:rFonts w:ascii="Times New Roman" w:cs="Times New Roman" w:eastAsia="Times New Roman" w:hAnsi="Times New Roman"/>
          <w:sz w:val="18"/>
          <w:szCs w:val="18"/>
          <w:color w:val="auto"/>
        </w:rPr>
      </w:pPr>
    </w:p>
    <w:p>
      <w:pPr>
        <w:ind w:left="660" w:right="360" w:hanging="328"/>
        <w:spacing w:after="0" w:line="329"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shares does not have a cumulative dividend, we have declared and paid or contemporaneously declare and pay or set aside funds to pay full dividends on the preferred shares of such series for the then current dividend period.</w:t>
      </w:r>
    </w:p>
    <w:p>
      <w:pPr>
        <w:spacing w:after="0" w:line="148"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8"/>
          <w:szCs w:val="18"/>
          <w:color w:val="auto"/>
        </w:rPr>
        <w:t>However, at any time we may purchase or acquire preferred shares of that series (1) pursuant to a purchase or exchange offer made on the same terms to holders of all outstanding preferred shares of such series or (2) by conversion into or exchange for shares of our capital stock ranking junior to the preferred shares of such series as to dividends and upon liquidation.</w:t>
      </w:r>
    </w:p>
    <w:p>
      <w:pPr>
        <w:spacing w:after="0" w:line="183" w:lineRule="exact"/>
        <w:rPr>
          <w:sz w:val="20"/>
          <w:szCs w:val="20"/>
          <w:color w:val="auto"/>
        </w:rPr>
      </w:pPr>
    </w:p>
    <w:p>
      <w:pPr>
        <w:ind w:right="160"/>
        <w:spacing w:after="0" w:line="305" w:lineRule="auto"/>
        <w:rPr>
          <w:sz w:val="20"/>
          <w:szCs w:val="20"/>
          <w:color w:val="auto"/>
        </w:rPr>
      </w:pPr>
      <w:r>
        <w:rPr>
          <w:rFonts w:ascii="Times New Roman" w:cs="Times New Roman" w:eastAsia="Times New Roman" w:hAnsi="Times New Roman"/>
          <w:sz w:val="18"/>
          <w:szCs w:val="18"/>
          <w:color w:val="auto"/>
        </w:rPr>
        <w:t>If fewer than all of the outstanding shares of preferred shares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69" w:lineRule="exact"/>
        <w:rPr>
          <w:sz w:val="20"/>
          <w:szCs w:val="20"/>
          <w:color w:val="auto"/>
        </w:rPr>
      </w:pPr>
    </w:p>
    <w:p>
      <w:pPr>
        <w:ind w:right="460"/>
        <w:spacing w:after="0" w:line="329" w:lineRule="auto"/>
        <w:rPr>
          <w:sz w:val="20"/>
          <w:szCs w:val="20"/>
          <w:color w:val="auto"/>
        </w:rPr>
      </w:pPr>
      <w:r>
        <w:rPr>
          <w:rFonts w:ascii="Times New Roman" w:cs="Times New Roman" w:eastAsia="Times New Roman" w:hAnsi="Times New Roman"/>
          <w:sz w:val="18"/>
          <w:szCs w:val="18"/>
          <w:color w:val="auto"/>
        </w:rPr>
        <w:t>Unless otherwise specified in the prospectus supplement, we will mail notice of redemption at least 10 days but not more than 60 days before the redemption date to each holder of record of preferred shares to be redeemed at the address shown on our stock transfer books. Each notice shall state:</w:t>
      </w:r>
    </w:p>
    <w:p>
      <w:pPr>
        <w:spacing w:after="0" w:line="162"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preferred shares to be redeemed;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such preferred shares are to be surrendered for payment of the redemption price;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to be redeemed will cease to accrue on such redemption date;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holder’s conversion rights, if any, as to such shares shall terminate;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number of shares to be redeemed from each such holder if fewer than all the shares of any series are to be redeemed.</w:t>
      </w:r>
    </w:p>
    <w:p>
      <w:pPr>
        <w:spacing w:after="0" w:line="252" w:lineRule="exact"/>
        <w:rPr>
          <w:sz w:val="20"/>
          <w:szCs w:val="20"/>
          <w:color w:val="auto"/>
        </w:rPr>
      </w:pPr>
    </w:p>
    <w:p>
      <w:pPr>
        <w:jc w:val="both"/>
        <w:ind w:right="240"/>
        <w:spacing w:after="0" w:line="305" w:lineRule="auto"/>
        <w:rPr>
          <w:sz w:val="20"/>
          <w:szCs w:val="20"/>
          <w:color w:val="auto"/>
        </w:rPr>
      </w:pPr>
      <w:r>
        <w:rPr>
          <w:rFonts w:ascii="Times New Roman" w:cs="Times New Roman" w:eastAsia="Times New Roman" w:hAnsi="Times New Roman"/>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1431" w:right="359" w:bottom="1440" w:gutter="0" w:footer="0" w:header="0"/>
        </w:sectPr>
      </w:pPr>
    </w:p>
    <w:bookmarkStart w:id="55" w:name="page56"/>
    <w:bookmarkEnd w:id="55"/>
    <w:p>
      <w:pPr>
        <w:ind w:right="840"/>
        <w:spacing w:after="0" w:line="33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preferred shares will not have any voting rights, except as required by law or as indicated in the applicable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w:t>
      </w:r>
    </w:p>
    <w:p>
      <w:pPr>
        <w:spacing w:after="0" w:line="147"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auto"/>
        </w:rPr>
        <w:t>Unless otherwise provided for under the terms of any series of preferred shares, no consent or vote of the holders of shares of preferred shares or any series thereof shall be required for any amendment to our Certificate that would increase the number of authorized shares of preferred shares or the number of authorized shares of any series thereof or decrease the number of authorized shares of preferred shares or the number of authorized shares of any series thereof (but not below the number of authorized shares of preferred shares or such series, as the case may be, then outstanding).</w:t>
      </w:r>
    </w:p>
    <w:p>
      <w:pPr>
        <w:spacing w:after="0" w:line="171"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The terms and conditions, if any, upon which any series of preferred shares is convertible into shares of our class A common stock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set forth in the applicable prospectus supplement relating thereto. Such terms will include the number of shares of class A common stock into which the shares of preferred shares are convertible, the conversion price, rate or manner of calculation thereof, the conversion period, provisions as to whether conversion will be at our option or at the option of the holders of the preferred shares, the events requiring an adjustment of the conversion price and provisions affecting conversion in the event of the redemption.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the preferred shares will be set forth in the applicable prospectus supplement.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Exempted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an exempted company with limited liability incorporated under the laws of Cayman Islands.</w:t>
      </w:r>
    </w:p>
    <w:p>
      <w:pPr>
        <w:spacing w:after="0" w:line="252"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The Cayman Islands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pacing w:after="0" w:line="162" w:lineRule="exact"/>
        <w:rPr>
          <w:sz w:val="20"/>
          <w:szCs w:val="20"/>
          <w:color w:val="auto"/>
        </w:rPr>
      </w:pPr>
    </w:p>
    <w:p>
      <w:pPr>
        <w:ind w:left="660" w:right="240" w:hanging="328"/>
        <w:spacing w:after="0" w:line="329"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(other than an exempted company holding a license to carry on business in the Cayman Islands) does not have to file an annual return of its shareholders with the Registrar of Companies of the Cayman Islands;</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shares with no par value;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266"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80"/>
          </w:cols>
          <w:pgMar w:left="320" w:top="1429" w:right="399" w:bottom="1440" w:gutter="0" w:footer="0" w:header="0"/>
        </w:sectPr>
      </w:pPr>
    </w:p>
    <w:bookmarkStart w:id="56" w:name="page57"/>
    <w:bookmarkEnd w:id="56"/>
    <w:p>
      <w:pPr>
        <w:spacing w:after="0" w:line="329" w:lineRule="auto"/>
        <w:rPr>
          <w:sz w:val="20"/>
          <w:szCs w:val="20"/>
          <w:color w:val="auto"/>
        </w:rPr>
      </w:pPr>
      <w:r>
        <w:rPr>
          <w:rFonts w:ascii="Times New Roman" w:cs="Times New Roman" w:eastAsia="Times New Roman" w:hAnsi="Times New Roman"/>
          <w:sz w:val="18"/>
          <w:szCs w:val="18"/>
          <w:color w:val="auto"/>
        </w:rPr>
        <w:t>establishment of an agency relationship or an illegal or improper purpose or other circumstances in which a court may be prepared to pierce or lift the corporate veil).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80"/>
          </w:cols>
          <w:pgMar w:left="320" w:top="1431" w:right="799" w:bottom="1440" w:gutter="0" w:footer="0" w:header="0"/>
        </w:sectPr>
      </w:pPr>
    </w:p>
    <w:bookmarkStart w:id="57" w:name="page58"/>
    <w:bookmarkEnd w:id="57"/>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shares through the issuance of depositary shares, rather than full shares of preferred shares. If we do, we will issue to the public receipts, called “depositary receipts,” for depositary shares, each of which will represent a fraction, to be described in the applicable prospectus supplement, of a share of a particular series of preferred shares. Unless otherwise provided in the prospectus supplement, each owner of a depositary share will be entitled, in proportion to the applicable fractional interest in a share of preferred shares represented by the depositary share, to all the rights and preferences of the preferred shares represented by the depositary share. Those rights include dividend, voting, redemption, conversion and liquidation rights.</w:t>
      </w:r>
    </w:p>
    <w:p>
      <w:pPr>
        <w:spacing w:after="0" w:line="178" w:lineRule="exact"/>
        <w:rPr>
          <w:sz w:val="20"/>
          <w:szCs w:val="20"/>
          <w:color w:val="auto"/>
        </w:rPr>
      </w:pPr>
    </w:p>
    <w:p>
      <w:pPr>
        <w:ind w:right="180"/>
        <w:spacing w:after="0" w:line="305" w:lineRule="auto"/>
        <w:rPr>
          <w:sz w:val="20"/>
          <w:szCs w:val="20"/>
          <w:color w:val="auto"/>
        </w:rPr>
      </w:pPr>
      <w:r>
        <w:rPr>
          <w:rFonts w:ascii="Times New Roman" w:cs="Times New Roman" w:eastAsia="Times New Roman" w:hAnsi="Times New Roman"/>
          <w:sz w:val="18"/>
          <w:szCs w:val="18"/>
          <w:color w:val="auto"/>
        </w:rPr>
        <w:t>The shares of preferred shares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83" w:lineRule="exact"/>
        <w:rPr>
          <w:sz w:val="20"/>
          <w:szCs w:val="20"/>
          <w:color w:val="auto"/>
        </w:rPr>
      </w:pPr>
    </w:p>
    <w:p>
      <w:pPr>
        <w:jc w:val="both"/>
        <w:ind w:right="100"/>
        <w:spacing w:after="0" w:line="346" w:lineRule="auto"/>
        <w:rPr>
          <w:sz w:val="20"/>
          <w:szCs w:val="20"/>
          <w:color w:val="auto"/>
        </w:rPr>
      </w:pPr>
      <w:r>
        <w:rPr>
          <w:rFonts w:ascii="Times New Roman" w:cs="Times New Roman" w:eastAsia="Times New Roman" w:hAnsi="Times New Roman"/>
          <w:sz w:val="17"/>
          <w:szCs w:val="17"/>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52" w:lineRule="exact"/>
        <w:rPr>
          <w:sz w:val="20"/>
          <w:szCs w:val="20"/>
          <w:color w:val="auto"/>
        </w:rPr>
      </w:pPr>
    </w:p>
    <w:p>
      <w:pPr>
        <w:jc w:val="both"/>
        <w:ind w:right="100"/>
        <w:spacing w:after="0" w:line="305"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a complete description of the terms of the depositary shares. You should refer to the form of the deposit agreement, our Certificate and the certificate of designation for the applicable series of preferred shares that are, or will be, filed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56"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shares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shares.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w:t>
      </w:r>
    </w:p>
    <w:p>
      <w:pPr>
        <w:spacing w:after="0" w:line="191"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270"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8"/>
          <w:szCs w:val="18"/>
          <w:color w:val="auto"/>
        </w:rPr>
        <w:t>If a series of preferred shares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shares,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440"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Withdrawal of Shares</w:t>
      </w:r>
    </w:p>
    <w:p>
      <w:pPr>
        <w:spacing w:after="0" w:line="27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shares and any money or other property represented by the depositary shares. If the depositary receipts delivered by the holder evidence a number of depositary shares in excess of the number of depositary shares representing the number of whole shares of preferred shares to be withdrawn, the depositary will deliver to the holder at the same time a new depositary receipt evidencing the excess number of depositary shares. In no event will the depositary deliver fractional shares of preferred shares upon surrender of depositary receipts. Holders of preferred shares thus withdrawn may not thereafter deposit those shares under the deposit agreement or receive depositary receipts evidencing depositary shares therefor.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270"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auto"/>
        </w:rPr>
        <w:t>Whenever we redeem shares of preferred shares held by the depositary, the depositary will redeem as of the same redemption date the number of depositary shares representing shares of the preferred shares so redeemed, so long as we have paid in full to the depositary the redemption price of the preferred shares to be redeemed plus an amount equal to any accumulated and unpaid dividends on the preferred shares to the date fixed for redemption. The redemption price per depositary share will be equal to the redemption price and any other amounts per share payable on the preferred shares multiplied by the fraction of a share of preferred shares represented by one depositary share. If less than all the depositary shares are to be redeemed, the depositary shares to be redeemed will be selected by lot or pro rata or by any other equitable method as may be determined by the depositary.</w:t>
      </w:r>
    </w:p>
    <w:p>
      <w:pPr>
        <w:spacing w:after="0" w:line="193" w:lineRule="exact"/>
        <w:rPr>
          <w:sz w:val="20"/>
          <w:szCs w:val="20"/>
          <w:color w:val="auto"/>
        </w:rPr>
      </w:pPr>
    </w:p>
    <w:p>
      <w:pPr>
        <w:ind w:right="180"/>
        <w:spacing w:after="0" w:line="305"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the Depositary Shares</w:t>
      </w:r>
    </w:p>
    <w:p>
      <w:pPr>
        <w:spacing w:after="0" w:line="256"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depositary shares are entitled to vote, the depositary will mail the information contained in the notice of meeting to the record holders of the depositary receipts relating to that depositary shares. The record date for the depositary receipts relating to the depositary shares will be the same date as the record date for the depositary shares. Each record holder of the depositary shares on the record date will be entitled to instruct the depositary as to the exercise of the voting rights pertaining to the number of shares of depositary shares represented by that holder’s depositary shares. The depositary will endeavor, insofar as practicable, to vote the number of shares of depositary shares represented by the depositary shares in accordance with those instructions, and we will agree to take all action that may be deemed necessary by the depositary in order to enable the depositary to do so. The depositary will not vote any shares of depositary shares except to the extent it receives specific instructions from the holders of depositary shares representing that number of shares of depositary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27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the charges due to the depositary in connection with the initial deposit of the preferred shares and any redemption of the preferred shares. Holders of depositary receipts will pay transfer, income and other taxes and governmental charges and such other charges (including those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27" w:right="339" w:bottom="1440" w:gutter="0" w:footer="0" w:header="0"/>
        </w:sectPr>
      </w:pPr>
    </w:p>
    <w:bookmarkStart w:id="59" w:name="page60"/>
    <w:bookmarkEnd w:id="59"/>
    <w:p>
      <w:pPr>
        <w:ind w:right="180"/>
        <w:spacing w:after="0" w:line="302" w:lineRule="auto"/>
        <w:rPr>
          <w:sz w:val="20"/>
          <w:szCs w:val="20"/>
          <w:color w:val="auto"/>
        </w:rPr>
      </w:pPr>
      <w:r>
        <w:rPr>
          <w:rFonts w:ascii="Times New Roman" w:cs="Times New Roman" w:eastAsia="Times New Roman" w:hAnsi="Times New Roman"/>
          <w:sz w:val="18"/>
          <w:szCs w:val="18"/>
          <w:color w:val="auto"/>
        </w:rPr>
        <w:t>the receipt and distribution of dividends, the sale or exercise of rights, the withdrawal of the preferred shares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270"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190"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w:t>
      </w:r>
    </w:p>
    <w:p>
      <w:pPr>
        <w:spacing w:after="0" w:line="252" w:lineRule="exact"/>
        <w:rPr>
          <w:rFonts w:ascii="Times New Roman" w:cs="Times New Roman" w:eastAsia="Times New Roman" w:hAnsi="Times New Roman"/>
          <w:sz w:val="18"/>
          <w:szCs w:val="18"/>
          <w:color w:val="auto"/>
        </w:rPr>
      </w:pPr>
    </w:p>
    <w:p>
      <w:pPr>
        <w:ind w:left="660" w:right="100" w:hanging="328"/>
        <w:spacing w:after="0" w:line="329"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shares in connection with our dissolution and such distribution has been made to all the holders of depositary shares.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270"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70" w:lineRule="exact"/>
        <w:rPr>
          <w:sz w:val="20"/>
          <w:szCs w:val="20"/>
          <w:color w:val="auto"/>
        </w:rPr>
      </w:pPr>
    </w:p>
    <w:p>
      <w:pPr>
        <w:jc w:val="both"/>
        <w:ind w:right="60"/>
        <w:spacing w:after="0" w:line="297"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shares.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256"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shares unless satisfactory indemnity is furnished. We and the depositary may rely upon written advice of counsel or accountants, on information provided by persons presenting preferred shares for deposit, holders of depositary receipts or other persons believed to be competent to give such information and on documents believed to be genuine and to have been signed or presented by the proper party or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1431" w:right="359" w:bottom="1440" w:gutter="0" w:footer="0" w:header="0"/>
        </w:sectPr>
      </w:pPr>
    </w:p>
    <w:bookmarkStart w:id="60" w:name="page61"/>
    <w:bookmarkEnd w:id="60"/>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70"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We may issue warrants to purchase debt securities, Class A Ordinary Shares, preferred shares or depositary shares. We may offer warrants separately or together with one or more additional debt securities, Class A Ordinary Shares, preferred shares, depositary shares or warrants,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177"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52"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238" w:lineRule="exact"/>
        <w:rPr>
          <w:rFonts w:ascii="Times New Roman" w:cs="Times New Roman" w:eastAsia="Times New Roman" w:hAnsi="Times New Roman"/>
          <w:sz w:val="18"/>
          <w:szCs w:val="18"/>
          <w:color w:val="auto"/>
        </w:rPr>
      </w:pPr>
    </w:p>
    <w:p>
      <w:pPr>
        <w:ind w:left="660" w:right="60" w:hanging="328"/>
        <w:spacing w:after="0" w:line="329"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38" w:lineRule="exact"/>
        <w:rPr>
          <w:rFonts w:ascii="Times New Roman" w:cs="Times New Roman" w:eastAsia="Times New Roman" w:hAnsi="Times New Roman"/>
          <w:sz w:val="18"/>
          <w:szCs w:val="18"/>
          <w:color w:val="auto"/>
        </w:rPr>
      </w:pPr>
    </w:p>
    <w:p>
      <w:pPr>
        <w:ind w:left="660" w:right="380" w:hanging="328"/>
        <w:spacing w:after="0" w:line="329"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252"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preferred shares or depositary shares with which the warrants are issued and the number of warrants issued with each security;</w:t>
      </w:r>
    </w:p>
    <w:p>
      <w:pPr>
        <w:spacing w:after="0" w:line="148" w:lineRule="exact"/>
        <w:rPr>
          <w:rFonts w:ascii="Times New Roman" w:cs="Times New Roman" w:eastAsia="Times New Roman" w:hAnsi="Times New Roman"/>
          <w:sz w:val="18"/>
          <w:szCs w:val="18"/>
          <w:color w:val="auto"/>
        </w:rPr>
      </w:pPr>
    </w:p>
    <w:p>
      <w:pPr>
        <w:ind w:left="660" w:right="580" w:hanging="328"/>
        <w:spacing w:after="0" w:line="329"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Class A Ordinary Shares, preferred shares, depositary shares or debt securities will be separately transferable;</w:t>
      </w:r>
    </w:p>
    <w:p>
      <w:pPr>
        <w:spacing w:after="0" w:line="134" w:lineRule="exact"/>
        <w:rPr>
          <w:rFonts w:ascii="Times New Roman" w:cs="Times New Roman" w:eastAsia="Times New Roman" w:hAnsi="Times New Roman"/>
          <w:sz w:val="18"/>
          <w:szCs w:val="18"/>
          <w:color w:val="auto"/>
        </w:rPr>
      </w:pPr>
    </w:p>
    <w:p>
      <w:pPr>
        <w:ind w:left="660" w:right="40" w:hanging="328"/>
        <w:spacing w:after="0" w:line="329"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Ordinary Shares, preferred shares, depositary shares or aggregate principal amount of debt securities purchasable upon exercise of a warrant and the price at which those shares may be purchased;</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80"/>
          </w:cols>
          <w:pgMar w:left="320" w:top="1440" w:right="399" w:bottom="1440" w:gutter="0" w:footer="0" w:header="0"/>
        </w:sectPr>
      </w:pPr>
    </w:p>
    <w:bookmarkStart w:id="61" w:name="page62"/>
    <w:bookmarkEnd w:id="61"/>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23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23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08"/>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9888"/>
          </w:cols>
          <w:pgMar w:left="652" w:top="1431" w:right="1359" w:bottom="1440" w:gutter="0" w:footer="0" w:header="0"/>
        </w:sectPr>
      </w:pPr>
    </w:p>
    <w:bookmarkStart w:id="62" w:name="page63"/>
    <w:bookmarkEnd w:id="62"/>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5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We may issue units consisting of debt securities, Class A Ordinary Shares, preferred shares, depositary shares or warrants as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w:t>
      </w:r>
    </w:p>
    <w:p>
      <w:pPr>
        <w:spacing w:after="0" w:line="183" w:lineRule="exact"/>
        <w:rPr>
          <w:sz w:val="20"/>
          <w:szCs w:val="20"/>
          <w:color w:val="auto"/>
        </w:rPr>
      </w:pPr>
    </w:p>
    <w:p>
      <w:pPr>
        <w:ind w:left="660" w:right="640" w:hanging="328"/>
        <w:spacing w:after="0" w:line="313"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the terms of the units and of the securities constituting the units, including whether and under what circumstances the securities comprising the units may be traded separately;</w:t>
      </w:r>
    </w:p>
    <w:p>
      <w:pPr>
        <w:spacing w:after="0" w:line="175" w:lineRule="exact"/>
        <w:rPr>
          <w:rFonts w:ascii="Times New Roman" w:cs="Times New Roman" w:eastAsia="Times New Roman" w:hAnsi="Times New Roman"/>
          <w:sz w:val="18"/>
          <w:szCs w:val="18"/>
          <w:color w:val="auto"/>
        </w:rPr>
      </w:pPr>
    </w:p>
    <w:p>
      <w:pPr>
        <w:ind w:left="660" w:right="260" w:hanging="328"/>
        <w:spacing w:after="0" w:line="313"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unit agent for the units, if applicable, and of any other depositaries, execution or paying agents, transfer agents, registrars or other agents;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governing unit agreement, if applicable;</w:t>
      </w:r>
    </w:p>
    <w:p>
      <w:pPr>
        <w:spacing w:after="0" w:line="252" w:lineRule="exact"/>
        <w:rPr>
          <w:rFonts w:ascii="Times New Roman" w:cs="Times New Roman" w:eastAsia="Times New Roman" w:hAnsi="Times New Roman"/>
          <w:sz w:val="18"/>
          <w:szCs w:val="18"/>
          <w:color w:val="auto"/>
        </w:rPr>
      </w:pPr>
    </w:p>
    <w:p>
      <w:pPr>
        <w:ind w:left="660" w:right="340" w:hanging="328"/>
        <w:spacing w:after="0" w:line="329"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for the issuance, payment, settlement, transfer or exchange of the units or of the warrants, Class A Ordinary Shares, preferred shares, depositary shares or debt securities constituting the units;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80"/>
          </w:cols>
          <w:pgMar w:left="320" w:top="1440" w:right="399" w:bottom="1440" w:gutter="0" w:footer="0" w:header="0"/>
        </w:sectPr>
      </w:pPr>
    </w:p>
    <w:bookmarkStart w:id="63" w:name="page64"/>
    <w:bookmarkEnd w:id="63"/>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7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Each debt security, depositary share, preferred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preferred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56"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We may issue the debt securities of a particular series, depositary shares, preferred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91" w:lineRule="exact"/>
        <w:rPr>
          <w:sz w:val="20"/>
          <w:szCs w:val="20"/>
          <w:color w:val="auto"/>
        </w:rPr>
      </w:pPr>
    </w:p>
    <w:p>
      <w:pPr>
        <w:ind w:right="260"/>
        <w:spacing w:after="0" w:line="346" w:lineRule="auto"/>
        <w:rPr>
          <w:sz w:val="20"/>
          <w:szCs w:val="20"/>
          <w:color w:val="auto"/>
        </w:rPr>
      </w:pPr>
      <w:r>
        <w:rPr>
          <w:rFonts w:ascii="Times New Roman" w:cs="Times New Roman" w:eastAsia="Times New Roman" w:hAnsi="Times New Roman"/>
          <w:sz w:val="17"/>
          <w:szCs w:val="17"/>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52"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92"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warrant agreement or unit agreement. Accordingly, each person owning a beneficial interest in a global security must rely on the procedures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40" w:right="339" w:bottom="1440" w:gutter="0" w:footer="0" w:header="0"/>
        </w:sectPr>
      </w:pPr>
    </w:p>
    <w:bookmarkStart w:id="64" w:name="page65"/>
    <w:bookmarkEnd w:id="64"/>
    <w:p>
      <w:pPr>
        <w:ind w:right="80"/>
        <w:spacing w:after="0" w:line="297" w:lineRule="auto"/>
        <w:rPr>
          <w:sz w:val="20"/>
          <w:szCs w:val="20"/>
          <w:color w:val="auto"/>
        </w:rPr>
      </w:pPr>
      <w:r>
        <w:rPr>
          <w:rFonts w:ascii="Times New Roman" w:cs="Times New Roman" w:eastAsia="Times New Roman" w:hAnsi="Times New Roman"/>
          <w:sz w:val="18"/>
          <w:szCs w:val="18"/>
          <w:color w:val="auto"/>
        </w:rPr>
        <w:t>depositary for that global security and, if that person is not a participant, on the procedures of the participant through which the person owns its interest, to exercise any rights of a holder under the applicable indenture, deposit agreement, warrant agreement or unit agreement. We understand that under existing industry practices, if we request any action of holders or if an owner of a beneficial interest in a global security desires to give or take any action that a holder is entitled to give or take under the applicable indenture, deposit agreement, warrant agreement or unit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8"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depositary shares, preferred shares, units or warrants,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9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78"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31" w:right="339" w:bottom="1440" w:gutter="0" w:footer="0" w:header="0"/>
        </w:sectPr>
      </w:pPr>
    </w:p>
    <w:bookmarkStart w:id="65" w:name="page66"/>
    <w:bookmarkEnd w:id="65"/>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70" w:lineRule="exact"/>
        <w:rPr>
          <w:sz w:val="20"/>
          <w:szCs w:val="20"/>
          <w:color w:val="auto"/>
        </w:rPr>
      </w:pPr>
    </w:p>
    <w:p>
      <w:pPr>
        <w:ind w:right="500"/>
        <w:spacing w:after="0" w:line="313"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underwritten public offerings, negotiated transactions, block trades or a combination of these methods. We may sell securities:</w:t>
      </w:r>
    </w:p>
    <w:p>
      <w:pPr>
        <w:spacing w:after="0" w:line="176"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265" w:lineRule="exact"/>
        <w:rPr>
          <w:rFonts w:ascii="Times New Roman" w:cs="Times New Roman" w:eastAsia="Times New Roman" w:hAnsi="Times New Roman"/>
          <w:sz w:val="18"/>
          <w:szCs w:val="18"/>
          <w:color w:val="auto"/>
        </w:rPr>
      </w:pPr>
    </w:p>
    <w:p>
      <w:pPr>
        <w:ind w:left="660" w:right="60" w:hanging="328"/>
        <w:spacing w:after="0" w:line="313"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52" w:lineRule="exact"/>
        <w:rPr>
          <w:sz w:val="20"/>
          <w:szCs w:val="20"/>
          <w:color w:val="auto"/>
        </w:rPr>
      </w:pPr>
    </w:p>
    <w:p>
      <w:pPr>
        <w:ind w:right="80"/>
        <w:spacing w:after="0" w:line="329"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to our existing security holders. This prospectus may be used in connection with any offering of our securities through any of these methods or other methods described in the applicable prospectus supplement.</w:t>
      </w:r>
    </w:p>
    <w:p>
      <w:pPr>
        <w:spacing w:after="0" w:line="148"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252"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66" w:lineRule="exact"/>
        <w:rPr>
          <w:sz w:val="20"/>
          <w:szCs w:val="20"/>
          <w:color w:val="auto"/>
        </w:rPr>
      </w:pPr>
    </w:p>
    <w:p>
      <w:pPr>
        <w:ind w:right="560"/>
        <w:spacing w:after="0" w:line="313"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176"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will receive from the sale of the securities;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1440" w:right="459" w:bottom="1440" w:gutter="0" w:footer="0" w:header="0"/>
          <w:type w:val="continuous"/>
        </w:sectPr>
      </w:pPr>
    </w:p>
    <w:bookmarkStart w:id="66" w:name="page67"/>
    <w:bookmarkEnd w:id="66"/>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52"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83"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76"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69"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1" w:lineRule="exact"/>
        <w:rPr>
          <w:sz w:val="20"/>
          <w:szCs w:val="20"/>
          <w:color w:val="auto"/>
        </w:rPr>
      </w:pPr>
    </w:p>
    <w:p>
      <w:pPr>
        <w:ind w:left="660" w:right="440" w:hanging="328"/>
        <w:spacing w:after="0" w:line="313"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75" w:lineRule="exact"/>
        <w:rPr>
          <w:rFonts w:ascii="Times New Roman" w:cs="Times New Roman" w:eastAsia="Times New Roman" w:hAnsi="Times New Roman"/>
          <w:sz w:val="18"/>
          <w:szCs w:val="18"/>
          <w:color w:val="auto"/>
        </w:rPr>
      </w:pPr>
    </w:p>
    <w:p>
      <w:pPr>
        <w:ind w:left="660" w:right="40" w:hanging="328"/>
        <w:spacing w:after="0" w:line="305"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69"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3"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31" w:right="339" w:bottom="1440" w:gutter="0" w:footer="0" w:header="0"/>
        </w:sectPr>
      </w:pPr>
    </w:p>
    <w:bookmarkStart w:id="67" w:name="page68"/>
    <w:bookmarkEnd w:id="67"/>
    <w:p>
      <w:pPr>
        <w:spacing w:after="0" w:line="297"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The applicable prospectus supplement may provide that the original issue date for your securities may be more than one scheduled business days after the trade date for your securities. Accordingly, in such a case, if you wish to trade securities on any date prior to the business day before the original issue date for your securities, you will be required, by virtue of the fact that your securities initially are expected to settle in more than one scheduled business days after the trade date for your securities, to make alternative settlement arrangements to prevent a failed settlement.</w:t>
      </w:r>
    </w:p>
    <w:p>
      <w:pPr>
        <w:spacing w:after="0" w:line="191" w:lineRule="exact"/>
        <w:rPr>
          <w:sz w:val="20"/>
          <w:szCs w:val="20"/>
          <w:color w:val="auto"/>
        </w:rPr>
      </w:pPr>
    </w:p>
    <w:p>
      <w:pPr>
        <w:ind w:right="240"/>
        <w:spacing w:after="0" w:line="305"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Any shares of Class A Ordinary Shares will be listed on the NASDAQ, but any other securities may or may not be listed on a national securities exchange. We can make no assurance as to the liquidity of or the existence of trading markets for any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60"/>
          </w:cols>
          <w:pgMar w:left="320" w:top="1431" w:right="419" w:bottom="1440" w:gutter="0" w:footer="0" w:header="0"/>
        </w:sectPr>
      </w:pPr>
    </w:p>
    <w:bookmarkStart w:id="68" w:name="page69"/>
    <w:bookmarkEnd w:id="68"/>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7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the securities offered by this prospectus are set forth in “Item 10. Additional Information—E. Taxation” in our annual report on Form 20-F for the year ended December 31, 2024, which is incorporated herein by reference, as updated by our subsequent filings under the Exchange Act that are incorporated by reference and, if applicable, in any accompanying prospectus supplement or relevant free writing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1440" w:right="359" w:bottom="1440" w:gutter="0" w:footer="0" w:header="0"/>
        </w:sectPr>
      </w:pPr>
    </w:p>
    <w:bookmarkStart w:id="69" w:name="page70"/>
    <w:bookmarkEnd w:id="69"/>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9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 estimate the following expenses in connection with the offer and sale of our securities.</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6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153,100</w:t>
            </w:r>
          </w:p>
        </w:tc>
        <w:tc>
          <w:tcPr>
            <w:tcW w:w="0" w:type="dxa"/>
            <w:vAlign w:val="bottom"/>
          </w:tcPr>
          <w:p>
            <w:pPr>
              <w:spacing w:after="0"/>
              <w:rPr>
                <w:sz w:val="1"/>
                <w:szCs w:val="1"/>
                <w:color w:val="auto"/>
              </w:rPr>
            </w:pPr>
          </w:p>
        </w:tc>
      </w:tr>
      <w:tr>
        <w:trPr>
          <w:trHeight w:val="324"/>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FINRA filing fee</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150,500</w:t>
            </w:r>
          </w:p>
        </w:tc>
        <w:tc>
          <w:tcPr>
            <w:tcW w:w="0" w:type="dxa"/>
            <w:vAlign w:val="bottom"/>
          </w:tcPr>
          <w:p>
            <w:pPr>
              <w:spacing w:after="0"/>
              <w:rPr>
                <w:sz w:val="1"/>
                <w:szCs w:val="1"/>
                <w:color w:val="auto"/>
              </w:rPr>
            </w:pPr>
          </w:p>
        </w:tc>
      </w:tr>
      <w:tr>
        <w:trPr>
          <w:trHeight w:val="41"/>
        </w:trPr>
        <w:tc>
          <w:tcPr>
            <w:tcW w:w="96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96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Printing expenses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96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5"/>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costs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96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defined at this time</w:t>
      </w:r>
    </w:p>
    <w:p>
      <w:pPr>
        <w:spacing w:after="0" w:line="262" w:lineRule="exact"/>
        <w:rPr>
          <w:sz w:val="20"/>
          <w:szCs w:val="20"/>
          <w:color w:val="auto"/>
        </w:rPr>
      </w:pPr>
    </w:p>
    <w:p>
      <w:pPr>
        <w:ind w:right="380"/>
        <w:spacing w:after="0" w:line="330" w:lineRule="auto"/>
        <w:rPr>
          <w:sz w:val="20"/>
          <w:szCs w:val="20"/>
          <w:color w:val="auto"/>
        </w:rPr>
      </w:pPr>
      <w:r>
        <w:rPr>
          <w:rFonts w:ascii="Times New Roman" w:cs="Times New Roman" w:eastAsia="Times New Roman" w:hAnsi="Times New Roman"/>
          <w:sz w:val="17"/>
          <w:szCs w:val="17"/>
          <w:color w:val="auto"/>
        </w:rPr>
        <w:t>Except for the SEC registration fee, estimated expenses are not presently known. The foregoing sets forth the general categories of expenses that we anticipate we will incur in connection with the offering of securities under this registration statement. To the extent required, any applicable prospectus supplement will set forth the estimated aggregate amount of expenses payable in respect of any offering of securities under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70" w:lineRule="exact"/>
        <w:rPr>
          <w:sz w:val="20"/>
          <w:szCs w:val="20"/>
          <w:color w:val="auto"/>
        </w:rPr>
      </w:pPr>
    </w:p>
    <w:p>
      <w:pPr>
        <w:spacing w:after="0" w:line="330" w:lineRule="auto"/>
        <w:rPr>
          <w:sz w:val="20"/>
          <w:szCs w:val="20"/>
          <w:color w:val="auto"/>
        </w:rPr>
      </w:pPr>
      <w:r>
        <w:rPr>
          <w:rFonts w:ascii="Times New Roman" w:cs="Times New Roman" w:eastAsia="Times New Roman" w:hAnsi="Times New Roman"/>
          <w:sz w:val="17"/>
          <w:szCs w:val="17"/>
          <w:color w:val="auto"/>
        </w:rPr>
        <w:t>Mourant Ozannes (Hong Kong) LLP has advised us on certain legal matters as to Cayman Islands law, including the issuance of the Class A Ordinary Shares offered by this prospectus. Certain matters of U.S. federal and New York law will be passed upon for us by Reed Smith LLP, New York, New York. Any underwriters or agents will be advised about other issues relating to the offering by counsel to be named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60"/>
          </w:cols>
          <w:pgMar w:left="320" w:top="1440" w:right="419" w:bottom="1440" w:gutter="0" w:footer="0" w:header="0"/>
        </w:sectPr>
      </w:pPr>
    </w:p>
    <w:bookmarkStart w:id="71" w:name="page72"/>
    <w:bookmarkEnd w:id="71"/>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70"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8"/>
          <w:szCs w:val="18"/>
          <w:color w:val="auto"/>
        </w:rPr>
        <w:t>The consolidated financial statements of Prenetics Global Limited as of December 31, 2023, and for the years in the two-year period ended December 31, 2023, have been incorporated by reference herein and in the registration statement in reliance upon the report of KPMG, independent registered public accounting firm, incorporated by reference herein, and upon the authority of said firm as experts in accounting and auditing.</w:t>
      </w:r>
    </w:p>
    <w:p>
      <w:pPr>
        <w:spacing w:after="0" w:line="169"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color w:val="auto"/>
        </w:rPr>
        <w:t>The consolidated financial statements of Prenetics Global Limited as of December 31, 2024, and for the year ended December 31, 2024, incorporated by reference in this prospectus, have been audited by Deloitte Touche Tohmatsu,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3"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auto"/>
        </w:rPr>
        <w:t>The consolidated financial statements of Insighta Holdings Limited as of December 31, 2024 and 2023, and for the year ended December 31, 2024 and the period July 20, 2023 to December 31, 2023, incorporated by reference in this prospectus, have been audited by Deloitte Touche Tohmatsu, an independent auditor, as stated in their report. Such consolidated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1440" w:right="439" w:bottom="1440" w:gutter="0" w:footer="0" w:header="0"/>
        </w:sectPr>
      </w:pPr>
    </w:p>
    <w:bookmarkStart w:id="72" w:name="page73"/>
    <w:bookmarkEnd w:id="72"/>
    <w:p>
      <w:pPr>
        <w:spacing w:after="0" w:line="200" w:lineRule="exact"/>
        <w:rPr>
          <w:sz w:val="20"/>
          <w:szCs w:val="20"/>
          <w:color w:val="auto"/>
        </w:rPr>
      </w:pPr>
    </w:p>
    <w:p>
      <w:pPr>
        <w:spacing w:after="0" w:line="24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 AND AGENT FOR SERVICE OF PROCESS IN THE UNITED STATES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public limited company organized under the laws of Cayman Islands. As a result, the rights of holders of our Class A Ordinary Shares will be governed by Cayman Islands law and our articles of association. The rights of shareholders under Cayman Islands law may differ from the rights of shareholders of companies incorporated in other jurisdictions. A substantial amount of our assets are located outside the United States. As a result, it may be difficult for investors to enforce in the United States judgments obtained in U.S. courts against us based on the civil liability provisions of the U.S. securities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 is Unit 703-706, K11 Atelier King’s Road, 728 King’s Road, Quarry Bay, Hong Kong.</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have irrevocably appointed Cogency Global Inc. as our agent to receive service of process in any action against us in any U.S. federal or state court arising out of this offering or any purchase or sale of securities in connection with this offering. The address of our agent is 122 East 42nd Street, 18th Floor New York, N.Y. 10168.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60"/>
          </w:cols>
          <w:pgMar w:left="320" w:top="1440" w:right="5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70"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The laws of the Cayman Islands do not limit the extent to which a company’s memorandum and articles of association may provide for indemnification of officers and directors, except to the extent any such provision may be held by the Islands courts to be contrary to public policy, such as to provide indemnification against wilful default, wilful neglect, civil fraud or the consequences of committing a crime. Our Amended Articles provides for indemnification of our officers and directors to the maximum extent permitted by law, including for any liability incurred in their capacities as such, except through their own actual fraud or wilful default.</w:t>
      </w:r>
    </w:p>
    <w:p>
      <w:pPr>
        <w:spacing w:after="0" w:line="191"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Under these agreements, we have agreed to indemnify our directors against certain liabilities and expenses incurred by such persons in connection with claims made by reason of their being our director.</w:t>
      </w:r>
    </w:p>
    <w:p>
      <w:pPr>
        <w:spacing w:after="0" w:line="176"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8"/>
          <w:szCs w:val="18"/>
          <w:color w:val="auto"/>
        </w:rPr>
        <w:t>In addition, we maintain standard policies of insurance under which coverage is provided to our directors and officers against loss rising from claims made by reason of breach of duty or other wrongful act, and to us with respect to payments which may be made by us to such directors and officers pursuant to the above indemnification provision or otherwise as a matter of law.</w:t>
      </w:r>
    </w:p>
    <w:p>
      <w:pPr>
        <w:spacing w:after="0" w:line="169"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64"/>
        </w:trPr>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580" w:type="dxa"/>
            <w:vAlign w:val="bottom"/>
            <w:tcBorders>
              <w:bottom w:val="single" w:sz="8" w:color="auto"/>
            </w:tcBorders>
            <w:gridSpan w:val="2"/>
          </w:tcPr>
          <w:p>
            <w:pPr>
              <w:spacing w:after="0"/>
              <w:rPr>
                <w:sz w:val="5"/>
                <w:szCs w:val="5"/>
                <w:color w:val="auto"/>
              </w:rPr>
            </w:pPr>
          </w:p>
        </w:tc>
        <w:tc>
          <w:tcPr>
            <w:tcW w:w="1360" w:type="dxa"/>
            <w:vAlign w:val="bottom"/>
            <w:tcBorders>
              <w:bottom w:val="single" w:sz="8" w:color="auto"/>
            </w:tcBorders>
            <w:gridSpan w:val="2"/>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27"/>
        </w:trPr>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9"/>
                <w:szCs w:val="19"/>
                <w:color w:val="auto"/>
              </w:rPr>
            </w:pPr>
          </w:p>
        </w:tc>
        <w:tc>
          <w:tcPr>
            <w:tcW w:w="4780" w:type="dxa"/>
            <w:vAlign w:val="bottom"/>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3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64"/>
        </w:trPr>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77"/>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0"/>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5"/>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Business Combination Agreement, dated as of September 15,</w:t>
              </w:r>
            </w:hyperlink>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F-4</w:t>
            </w:r>
          </w:p>
        </w:tc>
        <w:tc>
          <w:tcPr>
            <w:tcW w:w="1500" w:type="dxa"/>
            <w:vAlign w:val="bottom"/>
          </w:tcPr>
          <w:p>
            <w:pPr>
              <w:jc w:val="center"/>
              <w:ind w:right="394"/>
              <w:spacing w:after="0"/>
              <w:rPr>
                <w:sz w:val="20"/>
                <w:szCs w:val="20"/>
                <w:color w:val="auto"/>
              </w:rPr>
            </w:pPr>
            <w:r>
              <w:rPr>
                <w:rFonts w:ascii="Times New Roman" w:cs="Times New Roman" w:eastAsia="Times New Roman" w:hAnsi="Times New Roman"/>
                <w:sz w:val="18"/>
                <w:szCs w:val="18"/>
                <w:color w:val="auto"/>
                <w:w w:val="98"/>
              </w:rPr>
              <w:t>333-260928</w:t>
            </w:r>
          </w:p>
        </w:tc>
        <w:tc>
          <w:tcPr>
            <w:tcW w:w="8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30, 2022</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6"/>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5"/>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2021, by and among Artisan Acquisition Corp., Prenetics Global</w:t>
              </w:r>
            </w:hyperlink>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3"/>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Limited, Prenetics Group Limited, AAC Merger Limited, and</w:t>
              </w:r>
            </w:hyperlink>
          </w:p>
        </w:tc>
        <w:tc>
          <w:tcPr>
            <w:tcW w:w="12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7"/>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PGL Merger Limited.</w:t>
              </w:r>
            </w:hyperlink>
          </w:p>
        </w:tc>
        <w:tc>
          <w:tcPr>
            <w:tcW w:w="2860" w:type="dxa"/>
            <w:vAlign w:val="bottom"/>
            <w:tcBorders>
              <w:top w:val="single" w:sz="8" w:color="0000FF"/>
            </w:tcBorders>
            <w:gridSpan w:val="9"/>
          </w:tcPr>
          <w:p>
            <w:pPr>
              <w:spacing w:after="0"/>
              <w:rPr>
                <w:sz w:val="20"/>
                <w:szCs w:val="20"/>
                <w:color w:val="auto"/>
              </w:rPr>
            </w:pPr>
          </w:p>
        </w:tc>
        <w:tc>
          <w:tcPr>
            <w:tcW w:w="340" w:type="dxa"/>
            <w:vAlign w:val="bottom"/>
            <w:gridSpan w:val="5"/>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1"/>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Amendment to Business Combination Agreement, dated as of</w:t>
              </w:r>
            </w:hyperlink>
          </w:p>
        </w:tc>
        <w:tc>
          <w:tcPr>
            <w:tcW w:w="320" w:type="dxa"/>
            <w:vAlign w:val="bottom"/>
            <w:gridSpan w:val="4"/>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F-4</w:t>
            </w:r>
          </w:p>
        </w:tc>
        <w:tc>
          <w:tcPr>
            <w:tcW w:w="1500" w:type="dxa"/>
            <w:vAlign w:val="bottom"/>
          </w:tcPr>
          <w:p>
            <w:pPr>
              <w:jc w:val="center"/>
              <w:ind w:right="394"/>
              <w:spacing w:after="0"/>
              <w:rPr>
                <w:sz w:val="20"/>
                <w:szCs w:val="20"/>
                <w:color w:val="auto"/>
              </w:rPr>
            </w:pPr>
            <w:r>
              <w:rPr>
                <w:rFonts w:ascii="Times New Roman" w:cs="Times New Roman" w:eastAsia="Times New Roman" w:hAnsi="Times New Roman"/>
                <w:sz w:val="18"/>
                <w:szCs w:val="18"/>
                <w:color w:val="auto"/>
                <w:w w:val="98"/>
              </w:rPr>
              <w:t>333-260928</w:t>
            </w:r>
          </w:p>
        </w:tc>
        <w:tc>
          <w:tcPr>
            <w:tcW w:w="8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30, 2022</w:t>
            </w:r>
          </w:p>
        </w:tc>
      </w:tr>
      <w:tr>
        <w:trPr>
          <w:trHeight w:val="237"/>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5"/>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March 30, 2022, by and among Artisan Acquisition Corp.,</w:t>
              </w:r>
            </w:hyperlink>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3"/>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Prenetics Global Limited, Prenetics Group Limited, AAC</w:t>
              </w:r>
            </w:hyperlink>
          </w:p>
        </w:tc>
        <w:tc>
          <w:tcPr>
            <w:tcW w:w="580" w:type="dxa"/>
            <w:vAlign w:val="bottom"/>
            <w:gridSpan w:val="7"/>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6"/>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Merger Limited, and PGL Merger Limited.</w:t>
              </w:r>
            </w:hyperlink>
          </w:p>
        </w:tc>
        <w:tc>
          <w:tcPr>
            <w:tcW w:w="640" w:type="dxa"/>
            <w:vAlign w:val="bottom"/>
            <w:gridSpan w:val="8"/>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31"/>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5"/>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Amended and Restated Memorandum and Articles of</w:t>
              </w:r>
            </w:hyperlink>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6-K</w:t>
            </w:r>
          </w:p>
        </w:tc>
        <w:tc>
          <w:tcPr>
            <w:tcW w:w="1500" w:type="dxa"/>
            <w:vAlign w:val="bottom"/>
          </w:tcPr>
          <w:p>
            <w:pPr>
              <w:jc w:val="center"/>
              <w:ind w:right="394"/>
              <w:spacing w:after="0"/>
              <w:rPr>
                <w:sz w:val="20"/>
                <w:szCs w:val="20"/>
                <w:color w:val="auto"/>
              </w:rPr>
            </w:pPr>
            <w:r>
              <w:rPr>
                <w:rFonts w:ascii="Times New Roman" w:cs="Times New Roman" w:eastAsia="Times New Roman" w:hAnsi="Times New Roman"/>
                <w:sz w:val="18"/>
                <w:szCs w:val="18"/>
                <w:color w:val="auto"/>
                <w:w w:val="99"/>
              </w:rPr>
              <w:t>001-41401</w:t>
            </w:r>
          </w:p>
        </w:tc>
        <w:tc>
          <w:tcPr>
            <w:tcW w:w="8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August 1, 2025</w:t>
            </w:r>
          </w:p>
        </w:tc>
      </w:tr>
      <w:tr>
        <w:trPr>
          <w:trHeight w:val="236"/>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40" w:type="dxa"/>
            <w:vAlign w:val="bottom"/>
            <w:tcBorders>
              <w:top w:val="single" w:sz="8" w:color="0000FF"/>
            </w:tcBorders>
            <w:gridSpan w:val="6"/>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Association of Prenetics Global Limited.</w:t>
              </w:r>
            </w:hyperlink>
          </w:p>
        </w:tc>
        <w:tc>
          <w:tcPr>
            <w:tcW w:w="940" w:type="dxa"/>
            <w:vAlign w:val="bottom"/>
            <w:gridSpan w:val="9"/>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31"/>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5"/>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Specimen ordinary share certificate of Prenetics Global Limited.</w:t>
              </w:r>
            </w:hyperlink>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F-4</w:t>
            </w:r>
          </w:p>
        </w:tc>
        <w:tc>
          <w:tcPr>
            <w:tcW w:w="1500" w:type="dxa"/>
            <w:vAlign w:val="bottom"/>
          </w:tcPr>
          <w:p>
            <w:pPr>
              <w:jc w:val="center"/>
              <w:ind w:right="394"/>
              <w:spacing w:after="0"/>
              <w:rPr>
                <w:sz w:val="20"/>
                <w:szCs w:val="20"/>
                <w:color w:val="auto"/>
              </w:rPr>
            </w:pPr>
            <w:r>
              <w:rPr>
                <w:rFonts w:ascii="Times New Roman" w:cs="Times New Roman" w:eastAsia="Times New Roman" w:hAnsi="Times New Roman"/>
                <w:sz w:val="18"/>
                <w:szCs w:val="18"/>
                <w:color w:val="auto"/>
                <w:w w:val="98"/>
              </w:rPr>
              <w:t>333-260928</w:t>
            </w:r>
          </w:p>
        </w:tc>
        <w:tc>
          <w:tcPr>
            <w:tcW w:w="8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30, 2022</w:t>
            </w:r>
          </w:p>
        </w:tc>
      </w:tr>
      <w:tr>
        <w:trPr>
          <w:trHeight w:val="344"/>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Form of Senior Indenture</w:t>
              </w:r>
            </w:hyperlink>
          </w:p>
        </w:tc>
        <w:tc>
          <w:tcPr>
            <w:tcW w:w="2800" w:type="dxa"/>
            <w:vAlign w:val="bottom"/>
            <w:tcBorders>
              <w:top w:val="single" w:sz="8" w:color="0000FF"/>
            </w:tcBorders>
            <w:gridSpan w:val="10"/>
          </w:tcPr>
          <w:p>
            <w:pPr>
              <w:spacing w:after="0"/>
              <w:rPr>
                <w:sz w:val="24"/>
                <w:szCs w:val="24"/>
                <w:color w:val="auto"/>
              </w:rPr>
            </w:pPr>
          </w:p>
        </w:tc>
        <w:tc>
          <w:tcPr>
            <w:tcW w:w="14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44"/>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5"/>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Form of Subordinated Indenture</w:t>
              </w:r>
            </w:hyperlink>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427" w:right="339" w:bottom="1440" w:gutter="0" w:footer="0" w:header="0"/>
          <w:type w:val="continuous"/>
        </w:sectPr>
      </w:pPr>
    </w:p>
    <w:bookmarkStart w:id="74" w:name="page75"/>
    <w:bookmarkEnd w:id="74"/>
    <w:p>
      <w:pPr>
        <w:spacing w:after="0" w:line="86"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Senior Note</w:t>
            </w:r>
          </w:p>
        </w:tc>
      </w:tr>
      <w:tr>
        <w:trPr>
          <w:trHeight w:val="36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4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Subordinated Note</w:t>
            </w:r>
          </w:p>
        </w:tc>
      </w:tr>
      <w:tr>
        <w:trPr>
          <w:trHeight w:val="3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4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Certificate Representing Preferred Share</w:t>
            </w:r>
          </w:p>
        </w:tc>
      </w:tr>
      <w:tr>
        <w:trPr>
          <w:trHeight w:val="3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4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Depositary Receipt for the Depositary Shares</w:t>
            </w:r>
          </w:p>
        </w:tc>
      </w:tr>
      <w:tr>
        <w:trPr>
          <w:trHeight w:val="36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4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Deposit Agreement</w:t>
            </w:r>
          </w:p>
        </w:tc>
      </w:tr>
      <w:tr>
        <w:trPr>
          <w:trHeight w:val="3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4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36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4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580" w:type="dxa"/>
            <w:vAlign w:val="bottom"/>
            <w:gridSpan w:val="11"/>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Opinion of Mourant Ozannes (Hong Kong) LLP</w:t>
              </w:r>
            </w:hyperlink>
          </w:p>
        </w:tc>
      </w:tr>
      <w:tr>
        <w:trPr>
          <w:trHeight w:val="34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204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8"/>
              </w:rPr>
            </w:pPr>
            <w:hyperlink r:id="rId34">
              <w:r>
                <w:rPr>
                  <w:rFonts w:ascii="Times New Roman" w:cs="Times New Roman" w:eastAsia="Times New Roman" w:hAnsi="Times New Roman"/>
                  <w:sz w:val="18"/>
                  <w:szCs w:val="18"/>
                  <w:color w:val="0000FF"/>
                  <w:w w:val="98"/>
                </w:rPr>
                <w:t>Opinion of Reed Smith LLP</w:t>
              </w:r>
            </w:hyperlink>
          </w:p>
        </w:tc>
        <w:tc>
          <w:tcPr>
            <w:tcW w:w="1440" w:type="dxa"/>
            <w:vAlign w:val="bottom"/>
            <w:tcBorders>
              <w:top w:val="single" w:sz="8" w:color="0000FF"/>
            </w:tcBorders>
            <w:gridSpan w:val="4"/>
          </w:tcPr>
          <w:p>
            <w:pPr>
              <w:spacing w:after="0"/>
              <w:rPr>
                <w:sz w:val="24"/>
                <w:szCs w:val="24"/>
                <w:color w:val="auto"/>
              </w:rPr>
            </w:pPr>
          </w:p>
        </w:tc>
        <w:tc>
          <w:tcPr>
            <w:tcW w:w="1100" w:type="dxa"/>
            <w:vAlign w:val="bottom"/>
            <w:gridSpan w:val="3"/>
          </w:tcPr>
          <w:p>
            <w:pPr>
              <w:spacing w:after="0"/>
              <w:rPr>
                <w:sz w:val="24"/>
                <w:szCs w:val="24"/>
                <w:color w:val="auto"/>
              </w:rPr>
            </w:pPr>
          </w:p>
        </w:tc>
      </w:tr>
      <w:tr>
        <w:trPr>
          <w:trHeight w:val="34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4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Consent of Mourant Ozannes (Hong Kong) LLP (included in</w:t>
              </w:r>
            </w:hyperlink>
          </w:p>
        </w:tc>
        <w:tc>
          <w:tcPr>
            <w:tcW w:w="180" w:type="dxa"/>
            <w:vAlign w:val="bottom"/>
          </w:tcPr>
          <w:p>
            <w:pPr>
              <w:spacing w:after="0"/>
              <w:rPr>
                <w:sz w:val="24"/>
                <w:szCs w:val="24"/>
                <w:color w:val="auto"/>
              </w:rPr>
            </w:pPr>
          </w:p>
        </w:tc>
      </w:tr>
      <w:tr>
        <w:trPr>
          <w:trHeight w:val="223"/>
        </w:trPr>
        <w:tc>
          <w:tcPr>
            <w:tcW w:w="1100" w:type="dxa"/>
            <w:vAlign w:val="bottom"/>
          </w:tcPr>
          <w:p>
            <w:pPr>
              <w:spacing w:after="0"/>
              <w:rPr>
                <w:sz w:val="19"/>
                <w:szCs w:val="19"/>
                <w:color w:val="auto"/>
              </w:rPr>
            </w:pPr>
          </w:p>
        </w:tc>
        <w:tc>
          <w:tcPr>
            <w:tcW w:w="86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33">
              <w:r>
                <w:rPr>
                  <w:rFonts w:ascii="Times New Roman" w:cs="Times New Roman" w:eastAsia="Times New Roman" w:hAnsi="Times New Roman"/>
                  <w:sz w:val="18"/>
                  <w:szCs w:val="18"/>
                  <w:color w:val="0000FF"/>
                  <w:w w:val="97"/>
                </w:rPr>
                <w:t>Exhibit 5.1)</w:t>
              </w:r>
            </w:hyperlink>
          </w:p>
        </w:tc>
        <w:tc>
          <w:tcPr>
            <w:tcW w:w="3720" w:type="dxa"/>
            <w:vAlign w:val="bottom"/>
            <w:gridSpan w:val="10"/>
          </w:tcPr>
          <w:p>
            <w:pPr>
              <w:spacing w:after="0"/>
              <w:rPr>
                <w:sz w:val="19"/>
                <w:szCs w:val="19"/>
                <w:color w:val="auto"/>
              </w:rPr>
            </w:pPr>
          </w:p>
        </w:tc>
      </w:tr>
      <w:tr>
        <w:trPr>
          <w:trHeight w:val="34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580" w:type="dxa"/>
            <w:vAlign w:val="bottom"/>
            <w:gridSpan w:val="11"/>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Consent of Reed Smith LLP (included in Exhibit 5.2)</w:t>
              </w:r>
            </w:hyperlink>
          </w:p>
        </w:tc>
      </w:tr>
      <w:tr>
        <w:trPr>
          <w:trHeight w:val="34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384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Consent of KPMG</w:t>
              </w:r>
            </w:hyperlink>
          </w:p>
        </w:tc>
        <w:tc>
          <w:tcPr>
            <w:tcW w:w="740" w:type="dxa"/>
            <w:vAlign w:val="bottom"/>
            <w:gridSpan w:val="2"/>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r>
      <w:tr>
        <w:trPr>
          <w:trHeight w:val="34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27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r:id="rId36">
              <w:r>
                <w:rPr>
                  <w:rFonts w:ascii="Times New Roman" w:cs="Times New Roman" w:eastAsia="Times New Roman" w:hAnsi="Times New Roman"/>
                  <w:sz w:val="18"/>
                  <w:szCs w:val="18"/>
                  <w:color w:val="0000FF"/>
                  <w:w w:val="98"/>
                </w:rPr>
                <w:t>Consent of Deloitte Touche Tohmatsu</w:t>
              </w:r>
            </w:hyperlink>
          </w:p>
        </w:tc>
        <w:tc>
          <w:tcPr>
            <w:tcW w:w="1840" w:type="dxa"/>
            <w:vAlign w:val="bottom"/>
            <w:gridSpan w:val="4"/>
          </w:tcPr>
          <w:p>
            <w:pPr>
              <w:spacing w:after="0"/>
              <w:rPr>
                <w:sz w:val="24"/>
                <w:szCs w:val="24"/>
                <w:color w:val="auto"/>
              </w:rPr>
            </w:pPr>
          </w:p>
        </w:tc>
      </w:tr>
      <w:tr>
        <w:trPr>
          <w:trHeight w:val="34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23.5**</w:t>
            </w:r>
          </w:p>
        </w:tc>
        <w:tc>
          <w:tcPr>
            <w:tcW w:w="4580" w:type="dxa"/>
            <w:vAlign w:val="bottom"/>
            <w:gridSpan w:val="11"/>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Consent of Deloitte Touche Tohmatsu</w:t>
              </w:r>
            </w:hyperlink>
          </w:p>
        </w:tc>
      </w:tr>
      <w:tr>
        <w:trPr>
          <w:trHeight w:val="34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23.6***</w:t>
            </w:r>
          </w:p>
        </w:tc>
        <w:tc>
          <w:tcPr>
            <w:tcW w:w="2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Consent of DaHui Lawyers</w:t>
            </w:r>
          </w:p>
        </w:tc>
        <w:tc>
          <w:tcPr>
            <w:tcW w:w="1860" w:type="dxa"/>
            <w:vAlign w:val="bottom"/>
            <w:gridSpan w:val="5"/>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r>
      <w:tr>
        <w:trPr>
          <w:trHeight w:val="38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Power of Attorney (included on the signature page of this</w:t>
            </w:r>
          </w:p>
        </w:tc>
      </w:tr>
      <w:tr>
        <w:trPr>
          <w:trHeight w:val="243"/>
        </w:trPr>
        <w:tc>
          <w:tcPr>
            <w:tcW w:w="1100" w:type="dxa"/>
            <w:vAlign w:val="bottom"/>
          </w:tcPr>
          <w:p>
            <w:pPr>
              <w:spacing w:after="0"/>
              <w:rPr>
                <w:sz w:val="21"/>
                <w:szCs w:val="21"/>
                <w:color w:val="auto"/>
              </w:rPr>
            </w:pPr>
          </w:p>
        </w:tc>
        <w:tc>
          <w:tcPr>
            <w:tcW w:w="4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registration statement)</w:t>
            </w:r>
          </w:p>
        </w:tc>
      </w:tr>
      <w:tr>
        <w:trPr>
          <w:trHeight w:val="36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4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8"/>
              </w:rPr>
              <w:t>Form T-1 Statement of Eligibility under the Trust Indenture Act</w:t>
            </w:r>
          </w:p>
        </w:tc>
      </w:tr>
      <w:tr>
        <w:trPr>
          <w:trHeight w:val="243"/>
        </w:trPr>
        <w:tc>
          <w:tcPr>
            <w:tcW w:w="1100" w:type="dxa"/>
            <w:vAlign w:val="bottom"/>
          </w:tcPr>
          <w:p>
            <w:pPr>
              <w:spacing w:after="0"/>
              <w:rPr>
                <w:sz w:val="21"/>
                <w:szCs w:val="21"/>
                <w:color w:val="auto"/>
              </w:rPr>
            </w:pPr>
          </w:p>
        </w:tc>
        <w:tc>
          <w:tcPr>
            <w:tcW w:w="45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1939, as amended, of the Trustee under an indenture.</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2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hyperlink r:id="rId38">
              <w:r>
                <w:rPr>
                  <w:rFonts w:ascii="Times New Roman" w:cs="Times New Roman" w:eastAsia="Times New Roman" w:hAnsi="Times New Roman"/>
                  <w:sz w:val="18"/>
                  <w:szCs w:val="18"/>
                  <w:color w:val="0000FF"/>
                  <w:w w:val="98"/>
                </w:rPr>
                <w:t>Calculation of Filing Fee Table</w:t>
              </w:r>
            </w:hyperlink>
          </w:p>
        </w:tc>
        <w:tc>
          <w:tcPr>
            <w:tcW w:w="2340" w:type="dxa"/>
            <w:vAlign w:val="bottom"/>
            <w:gridSpan w:val="6"/>
          </w:tcPr>
          <w:p>
            <w:pPr>
              <w:spacing w:after="0"/>
              <w:rPr>
                <w:sz w:val="24"/>
                <w:szCs w:val="24"/>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32" w:lineRule="exact"/>
        <w:rPr>
          <w:sz w:val="20"/>
          <w:szCs w:val="20"/>
          <w:color w:val="auto"/>
        </w:rPr>
      </w:pPr>
    </w:p>
    <w:p>
      <w:pPr>
        <w:ind w:left="60" w:right="3660" w:firstLine="6"/>
        <w:spacing w:after="0" w:line="281" w:lineRule="auto"/>
        <w:tabs>
          <w:tab w:leader="none" w:pos="375"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document to be incorporated by reference into this registration statement. ** Previously filed.</w:t>
      </w:r>
    </w:p>
    <w:p>
      <w:pPr>
        <w:spacing w:after="0" w:line="1" w:lineRule="exact"/>
        <w:rPr>
          <w:rFonts w:ascii="Times New Roman" w:cs="Times New Roman" w:eastAsia="Times New Roman" w:hAnsi="Times New Roman"/>
          <w:sz w:val="14"/>
          <w:szCs w:val="14"/>
          <w:color w:val="auto"/>
        </w:rPr>
      </w:pPr>
    </w:p>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8" w:lineRule="exact"/>
        <w:rPr>
          <w:rFonts w:ascii="Times New Roman" w:cs="Times New Roman" w:eastAsia="Times New Roman" w:hAnsi="Times New Roman"/>
          <w:sz w:val="14"/>
          <w:szCs w:val="14"/>
          <w:color w:val="auto"/>
        </w:rPr>
      </w:pPr>
    </w:p>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To be filed in accordance with the requirements of Section 305(b)(2) of the Trust Indenture Act of 1939 and Rule 5b-3 thereunder.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12" w:lineRule="exact"/>
        <w:rPr>
          <w:sz w:val="20"/>
          <w:szCs w:val="20"/>
          <w:color w:val="auto"/>
        </w:rPr>
      </w:pPr>
    </w:p>
    <w:p>
      <w:pPr>
        <w:ind w:left="380" w:hanging="372"/>
        <w:spacing w:after="0"/>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this registration statement (or the most recent post-effective</w:t>
      </w:r>
    </w:p>
    <w:p>
      <w:pPr>
        <w:spacing w:after="0" w:line="61" w:lineRule="exact"/>
        <w:rPr>
          <w:rFonts w:ascii="Times New Roman" w:cs="Times New Roman" w:eastAsia="Times New Roman" w:hAnsi="Times New Roman"/>
          <w:sz w:val="17"/>
          <w:szCs w:val="17"/>
          <w:color w:val="auto"/>
        </w:rPr>
      </w:pPr>
    </w:p>
    <w:p>
      <w:pPr>
        <w:ind w:left="980" w:right="4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 thereof) which, individually or in the aggregate, represent a fundamental change in the information set forth in the registration statement. Notwithstanding the foregoing, any increase or decrease in volume of securities offered (if the total dollar value of securities</w:t>
      </w:r>
    </w:p>
    <w:p>
      <w:pPr>
        <w:spacing w:after="0" w:line="1" w:lineRule="exact"/>
        <w:rPr>
          <w:rFonts w:ascii="Times New Roman" w:cs="Times New Roman" w:eastAsia="Times New Roman" w:hAnsi="Times New Roman"/>
          <w:sz w:val="17"/>
          <w:szCs w:val="17"/>
          <w:color w:val="auto"/>
        </w:rPr>
      </w:pPr>
    </w:p>
    <w:p>
      <w:pPr>
        <w:ind w:left="980" w:right="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offered would not exceed that which was registered) and any deviation from the low or high end of the estimated maximum offering range may be reflected in the form of prospectus filed with the Securities and Exchange Commission pursuant to Rule</w:t>
      </w:r>
    </w:p>
    <w:p>
      <w:pPr>
        <w:sectPr>
          <w:pgSz w:w="11900" w:h="16838" w:orient="portrait"/>
          <w:cols w:equalWidth="0" w:num="1">
            <w:col w:w="10980"/>
          </w:cols>
          <w:pgMar w:left="320" w:top="144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0980"/>
          </w:cols>
          <w:pgMar w:left="320" w:top="1440" w:right="599" w:bottom="1440" w:gutter="0" w:footer="0" w:header="0"/>
          <w:type w:val="continuous"/>
        </w:sectPr>
      </w:pPr>
    </w:p>
    <w:bookmarkStart w:id="75" w:name="page76"/>
    <w:bookmarkEnd w:id="75"/>
    <w:p>
      <w:pPr>
        <w:spacing w:after="0" w:line="167" w:lineRule="exact"/>
        <w:rPr>
          <w:sz w:val="20"/>
          <w:szCs w:val="20"/>
          <w:color w:val="auto"/>
        </w:rPr>
      </w:pPr>
    </w:p>
    <w:p>
      <w:pPr>
        <w:ind w:left="980" w:right="160"/>
        <w:spacing w:after="0" w:line="329" w:lineRule="auto"/>
        <w:rPr>
          <w:sz w:val="20"/>
          <w:szCs w:val="20"/>
          <w:color w:val="auto"/>
        </w:rPr>
      </w:pPr>
      <w:r>
        <w:rPr>
          <w:rFonts w:ascii="Times New Roman" w:cs="Times New Roman" w:eastAsia="Times New Roman" w:hAnsi="Times New Roman"/>
          <w:sz w:val="18"/>
          <w:szCs w:val="18"/>
          <w:color w:val="auto"/>
        </w:rPr>
        <w:t>424(b) if, in the aggregate, the changes in volume and price represent no more than a 20% change in the maximum aggregate offering price set forth in the “Calculation of Registration Fee” table in the effective registration statement; and</w:t>
      </w:r>
    </w:p>
    <w:p>
      <w:pPr>
        <w:spacing w:after="0" w:line="121" w:lineRule="exact"/>
        <w:rPr>
          <w:sz w:val="20"/>
          <w:szCs w:val="20"/>
          <w:color w:val="auto"/>
        </w:rPr>
      </w:pPr>
    </w:p>
    <w:p>
      <w:pPr>
        <w:ind w:left="980" w:right="520" w:hanging="648"/>
        <w:spacing w:after="0" w:line="313"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3" w:lineRule="exact"/>
        <w:rPr>
          <w:sz w:val="20"/>
          <w:szCs w:val="20"/>
          <w:color w:val="auto"/>
        </w:rPr>
      </w:pPr>
    </w:p>
    <w:p>
      <w:pPr>
        <w:ind w:right="220"/>
        <w:spacing w:after="0" w:line="30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registration statement is on Form S-3 or From F-3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spacing w:after="0" w:line="145" w:lineRule="exact"/>
        <w:rPr>
          <w:sz w:val="20"/>
          <w:szCs w:val="20"/>
          <w:color w:val="auto"/>
        </w:rPr>
      </w:pPr>
    </w:p>
    <w:p>
      <w:pPr>
        <w:ind w:left="400" w:right="120" w:hanging="392"/>
        <w:spacing w:after="0" w:line="305" w:lineRule="auto"/>
        <w:tabs>
          <w:tab w:leader="none" w:pos="3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8" w:lineRule="exact"/>
        <w:rPr>
          <w:rFonts w:ascii="Times New Roman" w:cs="Times New Roman" w:eastAsia="Times New Roman" w:hAnsi="Times New Roman"/>
          <w:sz w:val="18"/>
          <w:szCs w:val="18"/>
          <w:color w:val="auto"/>
        </w:rPr>
      </w:pPr>
    </w:p>
    <w:p>
      <w:pPr>
        <w:ind w:left="400" w:right="60" w:hanging="392"/>
        <w:spacing w:after="0" w:line="329" w:lineRule="auto"/>
        <w:tabs>
          <w:tab w:leader="none" w:pos="3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21" w:lineRule="exact"/>
        <w:rPr>
          <w:rFonts w:ascii="Times New Roman" w:cs="Times New Roman" w:eastAsia="Times New Roman" w:hAnsi="Times New Roman"/>
          <w:sz w:val="18"/>
          <w:szCs w:val="18"/>
          <w:color w:val="auto"/>
        </w:rPr>
      </w:pPr>
    </w:p>
    <w:p>
      <w:pPr>
        <w:ind w:left="400" w:right="140" w:hanging="392"/>
        <w:spacing w:after="0" w:line="289" w:lineRule="auto"/>
        <w:tabs>
          <w:tab w:leader="none" w:pos="3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w:t>
      </w:r>
    </w:p>
    <w:p>
      <w:pPr>
        <w:spacing w:after="0" w:line="1" w:lineRule="exact"/>
        <w:rPr>
          <w:rFonts w:ascii="Times New Roman" w:cs="Times New Roman" w:eastAsia="Times New Roman" w:hAnsi="Times New Roman"/>
          <w:sz w:val="18"/>
          <w:szCs w:val="18"/>
          <w:color w:val="auto"/>
        </w:rPr>
      </w:pPr>
    </w:p>
    <w:p>
      <w:pPr>
        <w:ind w:left="400" w:right="100"/>
        <w:spacing w:after="0" w:line="30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with respect to registration statements on Form F-3, a post-effective</w:t>
      </w:r>
    </w:p>
    <w:p>
      <w:pPr>
        <w:ind w:left="400" w:right="1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Exchange Act that are incorporated by reference in the Form F-3.</w:t>
      </w:r>
    </w:p>
    <w:p>
      <w:pPr>
        <w:spacing w:after="0" w:line="12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980" w:right="160" w:hanging="589"/>
        <w:spacing w:after="0" w:line="329" w:lineRule="auto"/>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1" w:lineRule="exact"/>
        <w:rPr>
          <w:rFonts w:ascii="Times New Roman" w:cs="Times New Roman" w:eastAsia="Times New Roman" w:hAnsi="Times New Roman"/>
          <w:sz w:val="18"/>
          <w:szCs w:val="18"/>
          <w:color w:val="auto"/>
        </w:rPr>
      </w:pPr>
    </w:p>
    <w:p>
      <w:pPr>
        <w:ind w:left="980" w:right="60" w:hanging="589"/>
        <w:spacing w:after="0" w:line="306" w:lineRule="auto"/>
        <w:tabs>
          <w:tab w:leader="none" w:pos="976"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w:t>
      </w:r>
    </w:p>
    <w:p>
      <w:pPr>
        <w:spacing w:after="0" w:line="1" w:lineRule="exact"/>
        <w:rPr>
          <w:rFonts w:ascii="Times New Roman" w:cs="Times New Roman" w:eastAsia="Times New Roman" w:hAnsi="Times New Roman"/>
          <w:sz w:val="17"/>
          <w:szCs w:val="17"/>
          <w:color w:val="auto"/>
        </w:rPr>
      </w:pPr>
    </w:p>
    <w:p>
      <w:pPr>
        <w:ind w:left="980" w:right="18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w:t>
      </w:r>
    </w:p>
    <w:p>
      <w:pPr>
        <w:spacing w:after="0" w:line="1" w:lineRule="exact"/>
        <w:rPr>
          <w:rFonts w:ascii="Times New Roman" w:cs="Times New Roman" w:eastAsia="Times New Roman" w:hAnsi="Times New Roman"/>
          <w:sz w:val="17"/>
          <w:szCs w:val="17"/>
          <w:color w:val="auto"/>
        </w:rPr>
      </w:pPr>
    </w:p>
    <w:p>
      <w:pPr>
        <w:ind w:left="98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w:t>
      </w:r>
    </w:p>
    <w:p>
      <w:pPr>
        <w:spacing w:after="0" w:line="1" w:lineRule="exact"/>
        <w:rPr>
          <w:rFonts w:ascii="Times New Roman" w:cs="Times New Roman" w:eastAsia="Times New Roman" w:hAnsi="Times New Roman"/>
          <w:sz w:val="17"/>
          <w:szCs w:val="17"/>
          <w:color w:val="auto"/>
        </w:rPr>
      </w:pPr>
    </w:p>
    <w:p>
      <w:pPr>
        <w:ind w:left="980" w:right="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offering of such securities at that time shall be deemed to be the initial bona fide offering thereof. Provided, however, that no statement made in a registration statement or prospectus that is part of the registration statement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80"/>
          </w:cols>
          <w:pgMar w:left="320" w:top="1440" w:right="399" w:bottom="1440" w:gutter="0" w:footer="0" w:header="0"/>
        </w:sectPr>
      </w:pPr>
    </w:p>
    <w:bookmarkStart w:id="76" w:name="page77"/>
    <w:bookmarkEnd w:id="76"/>
    <w:p>
      <w:pPr>
        <w:spacing w:after="0" w:line="167" w:lineRule="exact"/>
        <w:rPr>
          <w:sz w:val="20"/>
          <w:szCs w:val="20"/>
          <w:color w:val="auto"/>
        </w:rPr>
      </w:pPr>
    </w:p>
    <w:p>
      <w:pPr>
        <w:ind w:left="972" w:right="20"/>
        <w:spacing w:after="0" w:line="302" w:lineRule="auto"/>
        <w:rPr>
          <w:sz w:val="20"/>
          <w:szCs w:val="20"/>
          <w:color w:val="auto"/>
        </w:rPr>
      </w:pPr>
      <w:r>
        <w:rPr>
          <w:rFonts w:ascii="Times New Roman" w:cs="Times New Roman" w:eastAsia="Times New Roman" w:hAnsi="Times New Roman"/>
          <w:sz w:val="18"/>
          <w:szCs w:val="18"/>
          <w:color w:val="auto"/>
        </w:rPr>
        <w:t>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146" w:lineRule="exact"/>
        <w:rPr>
          <w:sz w:val="20"/>
          <w:szCs w:val="20"/>
          <w:color w:val="auto"/>
        </w:rPr>
      </w:pPr>
    </w:p>
    <w:p>
      <w:pPr>
        <w:ind w:left="392" w:right="100" w:hanging="392"/>
        <w:spacing w:after="0" w:line="289"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w:t>
      </w:r>
    </w:p>
    <w:p>
      <w:pPr>
        <w:spacing w:after="0" w:line="1" w:lineRule="exact"/>
        <w:rPr>
          <w:rFonts w:ascii="Times New Roman" w:cs="Times New Roman" w:eastAsia="Times New Roman" w:hAnsi="Times New Roman"/>
          <w:sz w:val="18"/>
          <w:szCs w:val="18"/>
          <w:color w:val="auto"/>
        </w:rPr>
      </w:pPr>
    </w:p>
    <w:p>
      <w:pPr>
        <w:ind w:left="392"/>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2" w:lineRule="exact"/>
        <w:rPr>
          <w:rFonts w:ascii="Times New Roman" w:cs="Times New Roman" w:eastAsia="Times New Roman" w:hAnsi="Times New Roman"/>
          <w:sz w:val="18"/>
          <w:szCs w:val="18"/>
          <w:color w:val="auto"/>
        </w:rPr>
      </w:pPr>
    </w:p>
    <w:p>
      <w:pPr>
        <w:ind w:left="972" w:hanging="589"/>
        <w:spacing w:after="0"/>
        <w:tabs>
          <w:tab w:leader="none" w:pos="97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972" w:right="600" w:hanging="589"/>
        <w:spacing w:after="0" w:line="313" w:lineRule="auto"/>
        <w:tabs>
          <w:tab w:leader="none" w:pos="96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35" w:lineRule="exact"/>
        <w:rPr>
          <w:rFonts w:ascii="Times New Roman" w:cs="Times New Roman" w:eastAsia="Times New Roman" w:hAnsi="Times New Roman"/>
          <w:sz w:val="18"/>
          <w:szCs w:val="18"/>
          <w:color w:val="auto"/>
        </w:rPr>
      </w:pPr>
    </w:p>
    <w:p>
      <w:pPr>
        <w:ind w:left="972" w:right="40" w:hanging="589"/>
        <w:spacing w:after="0" w:line="329" w:lineRule="auto"/>
        <w:tabs>
          <w:tab w:leader="none" w:pos="9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7" w:lineRule="exact"/>
        <w:rPr>
          <w:rFonts w:ascii="Times New Roman" w:cs="Times New Roman" w:eastAsia="Times New Roman" w:hAnsi="Times New Roman"/>
          <w:sz w:val="18"/>
          <w:szCs w:val="18"/>
          <w:color w:val="auto"/>
        </w:rPr>
      </w:pPr>
    </w:p>
    <w:p>
      <w:pPr>
        <w:ind w:left="972" w:hanging="589"/>
        <w:spacing w:after="0"/>
        <w:tabs>
          <w:tab w:leader="none" w:pos="972"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w:t>
      </w:r>
    </w:p>
    <w:p>
      <w:pPr>
        <w:spacing w:after="0" w:line="49" w:lineRule="exact"/>
        <w:rPr>
          <w:rFonts w:ascii="Times New Roman" w:cs="Times New Roman" w:eastAsia="Times New Roman" w:hAnsi="Times New Roman"/>
          <w:sz w:val="18"/>
          <w:szCs w:val="18"/>
          <w:color w:val="auto"/>
        </w:rPr>
      </w:pPr>
    </w:p>
    <w:p>
      <w:pPr>
        <w:ind w:left="392" w:righ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2" w:lineRule="exact"/>
        <w:rPr>
          <w:rFonts w:ascii="Times New Roman" w:cs="Times New Roman" w:eastAsia="Times New Roman" w:hAnsi="Times New Roman"/>
          <w:sz w:val="18"/>
          <w:szCs w:val="18"/>
          <w:color w:val="auto"/>
        </w:rPr>
      </w:pPr>
    </w:p>
    <w:p>
      <w:pPr>
        <w:ind w:left="392" w:right="100" w:hanging="392"/>
        <w:spacing w:after="0" w:line="306" w:lineRule="auto"/>
        <w:tabs>
          <w:tab w:leader="none" w:pos="44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w:t>
      </w:r>
    </w:p>
    <w:p>
      <w:pPr>
        <w:spacing w:after="0" w:line="1" w:lineRule="exact"/>
        <w:rPr>
          <w:rFonts w:ascii="Times New Roman" w:cs="Times New Roman" w:eastAsia="Times New Roman" w:hAnsi="Times New Roman"/>
          <w:sz w:val="17"/>
          <w:szCs w:val="17"/>
          <w:color w:val="auto"/>
        </w:rPr>
      </w:pPr>
    </w:p>
    <w:p>
      <w:pPr>
        <w:ind w:left="392" w:right="26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w:t>
      </w:r>
    </w:p>
    <w:p>
      <w:pPr>
        <w:spacing w:after="0" w:line="1" w:lineRule="exact"/>
        <w:rPr>
          <w:rFonts w:ascii="Times New Roman" w:cs="Times New Roman" w:eastAsia="Times New Roman" w:hAnsi="Times New Roman"/>
          <w:sz w:val="17"/>
          <w:szCs w:val="17"/>
          <w:color w:val="auto"/>
        </w:rPr>
      </w:pPr>
    </w:p>
    <w:p>
      <w:pPr>
        <w:ind w:left="392" w:right="16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w:t>
      </w:r>
    </w:p>
    <w:p>
      <w:pPr>
        <w:spacing w:after="0" w:line="1" w:lineRule="exact"/>
        <w:rPr>
          <w:rFonts w:ascii="Times New Roman" w:cs="Times New Roman" w:eastAsia="Times New Roman" w:hAnsi="Times New Roman"/>
          <w:sz w:val="17"/>
          <w:szCs w:val="17"/>
          <w:color w:val="auto"/>
        </w:rPr>
      </w:pPr>
    </w:p>
    <w:p>
      <w:pPr>
        <w:ind w:left="392" w:right="48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appropriate jurisdiction the question of whether such indemnification by it is against public policy as expressed in the Securities Act and will be governed by the final adjudication of such issue.</w:t>
      </w:r>
    </w:p>
    <w:p>
      <w:pPr>
        <w:spacing w:after="0" w:line="135" w:lineRule="exact"/>
        <w:rPr>
          <w:rFonts w:ascii="Times New Roman" w:cs="Times New Roman" w:eastAsia="Times New Roman" w:hAnsi="Times New Roman"/>
          <w:sz w:val="17"/>
          <w:szCs w:val="17"/>
          <w:color w:val="auto"/>
        </w:rPr>
      </w:pPr>
    </w:p>
    <w:p>
      <w:pPr>
        <w:ind w:left="252" w:hanging="252"/>
        <w:spacing w:after="0"/>
        <w:tabs>
          <w:tab w:leader="none" w:pos="2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w:t>
      </w:r>
    </w:p>
    <w:p>
      <w:pPr>
        <w:spacing w:after="0" w:line="49" w:lineRule="exact"/>
        <w:rPr>
          <w:rFonts w:ascii="Times New Roman" w:cs="Times New Roman" w:eastAsia="Times New Roman" w:hAnsi="Times New Roman"/>
          <w:sz w:val="18"/>
          <w:szCs w:val="18"/>
          <w:color w:val="auto"/>
        </w:rPr>
      </w:pPr>
    </w:p>
    <w:p>
      <w:pPr>
        <w:ind w:left="632" w:hanging="249"/>
        <w:spacing w:after="0"/>
        <w:tabs>
          <w:tab w:leader="none" w:pos="63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310 of the Trust Indenture Act (“Act”) in accordance with the rules and regulations prescribed by the Commission under section 305(b)</w:t>
      </w:r>
    </w:p>
    <w:p>
      <w:pPr>
        <w:spacing w:after="0" w:line="36" w:lineRule="exact"/>
        <w:rPr>
          <w:rFonts w:ascii="Times New Roman" w:cs="Times New Roman" w:eastAsia="Times New Roman" w:hAnsi="Times New Roman"/>
          <w:sz w:val="18"/>
          <w:szCs w:val="18"/>
          <w:color w:val="auto"/>
        </w:rPr>
      </w:pPr>
    </w:p>
    <w:p>
      <w:pPr>
        <w:ind w:left="3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232"/>
          </w:cols>
          <w:pgMar w:left="328" w:top="1440" w:right="339" w:bottom="1440" w:gutter="0" w:footer="0" w:header="0"/>
        </w:sectPr>
      </w:pPr>
    </w:p>
    <w:bookmarkStart w:id="77" w:name="page78"/>
    <w:bookmarkEnd w:id="77"/>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Hong Kong, on September 8, 2025.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24860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9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Danny Sheng Wu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86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3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Danny Sheng Wu Yeung</w:t>
      </w:r>
    </w:p>
    <w:p>
      <w:pPr>
        <w:spacing w:after="0" w:line="21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Lo Hoi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86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3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Lo Hoi Chun</w:t>
      </w:r>
    </w:p>
    <w:p>
      <w:pPr>
        <w:spacing w:after="0" w:line="21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860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3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Cheng Yin Pan</w:t>
      </w:r>
    </w:p>
    <w:p>
      <w:pPr>
        <w:spacing w:after="0" w:line="21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860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3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Kong Yiu Cheung</w:t>
      </w:r>
    </w:p>
    <w:p>
      <w:pPr>
        <w:spacing w:after="0" w:line="21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860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3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David Eric Vanderveen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 w:hanging="132"/>
        <w:spacing w:after="0"/>
        <w:tabs>
          <w:tab w:leader="none" w:pos="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Danny Sheng Wu Yeung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Danny Sheng Wu Yeung, Attorney in 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00" w:lineRule="exact"/>
        <w:rPr>
          <w:sz w:val="20"/>
          <w:szCs w:val="20"/>
          <w:color w:val="auto"/>
        </w:rPr>
      </w:pPr>
    </w:p>
    <w:p>
      <w:pPr>
        <w:spacing w:after="0" w:line="23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Danny Sheng Wu Yeung</w:t>
      </w:r>
    </w:p>
    <w:p>
      <w:pPr>
        <w:spacing w:after="0" w:line="5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Name: Danny Sheng Wu Yeung</w:t>
      </w:r>
    </w:p>
    <w:p>
      <w:pPr>
        <w:spacing w:after="0" w:line="3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31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59055</wp:posOffset>
            </wp:positionV>
            <wp:extent cx="3257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200" w:lineRule="exact"/>
        <w:rPr>
          <w:sz w:val="20"/>
          <w:szCs w:val="20"/>
          <w:color w:val="auto"/>
        </w:rPr>
      </w:pPr>
    </w:p>
    <w:p>
      <w:pPr>
        <w:spacing w:after="0" w:line="37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200" w:lineRule="exact"/>
        <w:rPr>
          <w:sz w:val="20"/>
          <w:szCs w:val="20"/>
          <w:color w:val="auto"/>
        </w:rPr>
      </w:pPr>
    </w:p>
    <w:p>
      <w:pPr>
        <w:spacing w:after="0" w:line="37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59055</wp:posOffset>
            </wp:positionV>
            <wp:extent cx="12687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2025</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2025</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2025</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2025</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2025</w:t>
      </w:r>
    </w:p>
    <w:p>
      <w:pPr>
        <w:spacing w:after="0" w:line="1511" w:lineRule="exact"/>
        <w:rPr>
          <w:sz w:val="20"/>
          <w:szCs w:val="20"/>
          <w:color w:val="auto"/>
        </w:rPr>
      </w:pPr>
    </w:p>
    <w:p>
      <w:pPr>
        <w:sectPr>
          <w:pgSz w:w="11900" w:h="16838" w:orient="portrait"/>
          <w:cols w:equalWidth="0" w:num="3">
            <w:col w:w="3540" w:space="720"/>
            <w:col w:w="4640" w:space="660"/>
            <w:col w:w="16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40"/>
          </w:cols>
          <w:pgMar w:left="320" w:top="1440" w:right="339" w:bottom="1440" w:gutter="0" w:footer="0" w:header="0"/>
          <w:type w:val="continuous"/>
        </w:sectPr>
      </w:pPr>
    </w:p>
    <w:bookmarkStart w:id="78" w:name="page79"/>
    <w:bookmarkEnd w:id="78"/>
    <w:p>
      <w:pPr>
        <w:spacing w:after="0" w:line="2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70"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 of the Securities Act of 1933, the undersigned, solely in his capacity as the duly authorized representative of Prenetics Global Limited, has signed this registration statement in the City of New York, New York, on September 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360" w:lineRule="exact"/>
        <w:rPr>
          <w:sz w:val="20"/>
          <w:szCs w:val="20"/>
          <w:color w:val="auto"/>
        </w:rPr>
      </w:pPr>
    </w:p>
    <w:p>
      <w:pPr>
        <w:ind w:left="4560"/>
        <w:spacing w:after="0"/>
        <w:tabs>
          <w:tab w:leader="none" w:pos="506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60325</wp:posOffset>
            </wp:positionV>
            <wp:extent cx="1534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5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1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080"/>
          </w:cols>
          <w:pgMar w:left="320" w:top="1440" w:right="49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1397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September 8, 2025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We have acted as PRC counsel to Prenetics Global Limited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 company incorporated under the laws of the Cayman Islands, in connection with the Company’s Registration Statement on Form F-3 (File No. 333-288824), including all amendments or supplements thereto, filed with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under the United States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(such registration statement, as so amended, the “</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in relation to the registration with the SEC of the offer and sale by the Company of the Company’s securities referenced therein.</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We hereby consent to the reference to our name in the Registration Statement and the filing of this consent letter with the SEC as an exhibit to the Registration Statement. In giving this consent, we do not hereby admit that we are within the category of persons whose consent is required under Section 7 of the Securities Act, or the rules and regulations promulgated thereunder.</w:t>
      </w:r>
    </w:p>
    <w:p>
      <w:pPr>
        <w:spacing w:after="0" w:line="200" w:lineRule="exact"/>
        <w:rPr>
          <w:sz w:val="20"/>
          <w:szCs w:val="20"/>
          <w:color w:val="auto"/>
        </w:rPr>
      </w:pPr>
    </w:p>
    <w:p>
      <w:pPr>
        <w:spacing w:after="0" w:line="28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2"/>
          <w:szCs w:val="22"/>
          <w:color w:val="auto"/>
        </w:rPr>
        <w:t>DaHui Lawyers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2"/>
          <w:szCs w:val="22"/>
          <w:color w:val="auto"/>
        </w:rPr>
        <w:t>/s/ Dahui Lawyers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27940</wp:posOffset>
            </wp:positionV>
            <wp:extent cx="2125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1)"/>
      <w:numFmt w:val="lowerLetter"/>
      <w:start w:val="2"/>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1)"/>
      <w:numFmt w:val="lowerRoman"/>
      <w:start w:val="3"/>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1."/>
      <w:numFmt w:val="lowerLetter"/>
      <w:start w:val="1"/>
    </w:lvl>
  </w:abstractNum>
  <w:abstractNum w:abstractNumId="40">
    <w:nsid w:val="649BB77C"/>
    <w:multiLevelType w:val="hybridMultilevel"/>
    <w:lvl w:ilvl="0">
      <w:lvlJc w:val="left"/>
      <w:lvlText w:val="%1."/>
      <w:numFmt w:val="lowerLetter"/>
      <w:start w:val="4"/>
    </w:lvl>
  </w:abstractNum>
  <w:abstractNum w:abstractNumId="41">
    <w:nsid w:val="275AC794"/>
    <w:multiLevelType w:val="hybridMultilevel"/>
    <w:lvl w:ilvl="0">
      <w:lvlJc w:val="left"/>
      <w:lvlText w:val="%1."/>
      <w:numFmt w:val="lowerLetter"/>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1)"/>
      <w:numFmt w:val="decimal"/>
      <w:start w:val="1"/>
    </w:lvl>
    <w:lvl w:ilvl="1">
      <w:lvlJc w:val="left"/>
      <w:lvlText w:val="(%2)"/>
      <w:numFmt w:val="lowerRoman"/>
      <w:start w:val="1"/>
    </w:lvl>
  </w:abstractNum>
  <w:abstractNum w:abstractNumId="63">
    <w:nsid w:val="1F48EAA1"/>
    <w:multiLevelType w:val="hybridMultilevel"/>
    <w:lvl w:ilvl="0">
      <w:lvlJc w:val="left"/>
      <w:lvlText w:val="(%1)"/>
      <w:numFmt w:val="lowerRoman"/>
      <w:start w:val="3"/>
    </w:lvl>
  </w:abstractNum>
  <w:abstractNum w:abstractNumId="64">
    <w:nsid w:val="1381823A"/>
    <w:multiLevelType w:val="hybridMultilevel"/>
    <w:lvl w:ilvl="0">
      <w:lvlJc w:val="left"/>
      <w:lvlText w:val="(%1)"/>
      <w:numFmt w:val="decimal"/>
      <w:start w:val="2"/>
    </w:lvl>
    <w:lvl w:ilvl="1">
      <w:lvlJc w:val="left"/>
      <w:lvlText w:val="(%2)"/>
      <w:numFmt w:val="lowerRoman"/>
      <w:start w:val="1"/>
    </w:lvl>
  </w:abstractNum>
  <w:abstractNum w:abstractNumId="65">
    <w:nsid w:val="5DB70AE5"/>
    <w:multiLevelType w:val="hybridMultilevel"/>
    <w:lvl w:ilvl="0">
      <w:lvlJc w:val="left"/>
      <w:lvlText w:val="(%1)"/>
      <w:numFmt w:val="decimal"/>
      <w:start w:val="6"/>
    </w:lvl>
    <w:lvl w:ilvl="1">
      <w:lvlJc w:val="left"/>
      <w:lvlText w:val="(%2)"/>
      <w:numFmt w:val="lowerLetter"/>
      <w:start w:val="9"/>
    </w:lvl>
    <w:lvl w:ilvl="2">
      <w:lvlJc w:val="left"/>
      <w:lvlText w:val="%3"/>
      <w:numFmt w:val="lowerRoman"/>
      <w:start w:val="1"/>
    </w:lvl>
  </w:abstractNum>
  <w:abstractNum w:abstractNumId="66">
    <w:nsid w:val="100F8FCA"/>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67">
    <w:nsid w:val="6590700B"/>
    <w:multiLevelType w:val="hybridMultilevel"/>
    <w:lvl w:ilvl="0">
      <w:lvlJc w:val="left"/>
      <w:lvlText w:val="%1"/>
      <w:numFmt w:val="decimal"/>
      <w:start w:val="1"/>
    </w:lvl>
    <w:lvl w:ilvl="1">
      <w:lvlJc w:val="left"/>
      <w:lvlText w:val="(%2)"/>
      <w:numFmt w:val="lowerLetter"/>
      <w:start w:val="61"/>
    </w:lvl>
    <w:lvl w:ilvl="2">
      <w:lvlJc w:val="left"/>
      <w:lvlText w:val="(%3)"/>
      <w:numFmt w:val="lowerRoman"/>
      <w:start w:val="4"/>
    </w:lvl>
  </w:abstractNum>
  <w:abstractNum w:abstractNumId="68">
    <w:nsid w:val="15014AC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jpeg"/><Relationship Id="rId49" Type="http://schemas.openxmlformats.org/officeDocument/2006/relationships/image" Target="media/image22.png"/><Relationship Id="rId8" Type="http://schemas.openxmlformats.org/officeDocument/2006/relationships/hyperlink" Target="https://www.sec.gov/ix?doc=/Archives/edgar/data/1876431/000162828025021127/pre-20241231.htm" TargetMode="External"/><Relationship Id="rId9" Type="http://schemas.openxmlformats.org/officeDocument/2006/relationships/hyperlink" Target="https://www.sec.gov/Archives/edgar/data/1876431/000162828025035296/pre-20241231.htm" TargetMode="External"/><Relationship Id="rId10" Type="http://schemas.openxmlformats.org/officeDocument/2006/relationships/hyperlink" Target="https://www.sec.gov/Archives/edgar/data/1876431/000162828025028242/a6-kx2025directorresignati.htm" TargetMode="External"/><Relationship Id="rId11" Type="http://schemas.openxmlformats.org/officeDocument/2006/relationships/hyperlink" Target="https://www.sec.gov/Archives/edgar/data/1876431/000162828025030870/a6-kx2025q1.htm" TargetMode="External"/><Relationship Id="rId12" Type="http://schemas.openxmlformats.org/officeDocument/2006/relationships/hyperlink" Target="https://www.sec.gov/Archives/edgar/data/1876431/000162828025031458/a6-kx2025junedirectorresig.htm" TargetMode="External"/><Relationship Id="rId13" Type="http://schemas.openxmlformats.org/officeDocument/2006/relationships/hyperlink" Target="https://www.sec.gov/Archives/edgar/data/1876431/000162828025032019/a6-kx2025junexactgdivestme.htm" TargetMode="External"/><Relationship Id="rId14" Type="http://schemas.openxmlformats.org/officeDocument/2006/relationships/hyperlink" Target="https://www.sec.gov/Archives/edgar/data/1876431/000162828025040984/preneticsgloballtd-6xkxa2f.htm" TargetMode="External"/><Relationship Id="rId15" Type="http://schemas.openxmlformats.org/officeDocument/2006/relationships/hyperlink" Target="https://www.sec.gov/Archives/edgar/data/1876431/000110465922061819/tm2127588d70_8a12b.htm" TargetMode="External"/><Relationship Id="rId27" Type="http://schemas.openxmlformats.org/officeDocument/2006/relationships/hyperlink" Target="https://www.sec.gov/Archives/edgar/data/1876431/000110465921136389/tm2127588d28_ex2-1.htm" TargetMode="External"/><Relationship Id="rId28" Type="http://schemas.openxmlformats.org/officeDocument/2006/relationships/hyperlink" Target="https://www.sec.gov/Archives/edgar/data/1876431/000110465922040228/tm2127588d52_ex2-2.htm" TargetMode="External"/><Relationship Id="rId29" Type="http://schemas.openxmlformats.org/officeDocument/2006/relationships/hyperlink" Target="https://www.sec.gov/Archives/edgar/data/1876431/000162828025037132/amendedarticlesofassocia.htm" TargetMode="External"/><Relationship Id="rId30" Type="http://schemas.openxmlformats.org/officeDocument/2006/relationships/hyperlink" Target="https://www.sec.gov/Archives/edgar/data/1876431/000110465921154736/tm2127588d39_ex4-1.htm" TargetMode="External"/><Relationship Id="rId31" Type="http://schemas.openxmlformats.org/officeDocument/2006/relationships/hyperlink" Target="https://www.sec.gov/Archives/edgar/data/1876431/000162828025035497/exhibit42-seniorindenture.htm" TargetMode="External"/><Relationship Id="rId32" Type="http://schemas.openxmlformats.org/officeDocument/2006/relationships/hyperlink" Target="https://www.sec.gov/Archives/edgar/data/1876431/000162828025035497/exhibit43-subordinatedinde.htm" TargetMode="External"/><Relationship Id="rId33" Type="http://schemas.openxmlformats.org/officeDocument/2006/relationships/hyperlink" Target="https://www.sec.gov/Archives/edgar/data/1876431/000162828025040987/ex51caymanlegalopinion.htm" TargetMode="External"/><Relationship Id="rId34" Type="http://schemas.openxmlformats.org/officeDocument/2006/relationships/hyperlink" Target="https://www.sec.gov/Archives/edgar/data/1876431/000162828025035497/exhibit52-rslegalopinion.htm" TargetMode="External"/><Relationship Id="rId35" Type="http://schemas.openxmlformats.org/officeDocument/2006/relationships/hyperlink" Target="https://www.sec.gov/Archives/edgar/data/1876431/000162828025040987/ex233kpmgconsent-f3a.htm" TargetMode="External"/><Relationship Id="rId36" Type="http://schemas.openxmlformats.org/officeDocument/2006/relationships/hyperlink" Target="https://www.sec.gov/Archives/edgar/data/1876431/000162828025040987/ex234deloitteconsent-f3a.htm" TargetMode="External"/><Relationship Id="rId37" Type="http://schemas.openxmlformats.org/officeDocument/2006/relationships/hyperlink" Target="https://www.sec.gov/Archives/edgar/data/1876431/000162828025040987/ex235deloitteconsent-f3ain.htm" TargetMode="External"/><Relationship Id="rId38" Type="http://schemas.openxmlformats.org/officeDocument/2006/relationships/hyperlink" Target="https://www.sec.gov/Archives/edgar/data/1876431/000162828025035497/exhibit107-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2025-09-08T08:39:09Z</dcterms:created>
  <dcterms:modified xsi:type="dcterms:W3CDTF">2025-09-08T08:39:09Z</dcterms:modified>
</cp:coreProperties>
</file>