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22223.xml.htm"/>
      <w:bookmarkStart w:id="1" w:name="kswkform4_17876222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 Hoi Chun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703-706, K11 ATELIER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728 KINGS ROAD, QUARRY BAY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Prenetics Global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9"/>
        <w:gridCol w:w="904"/>
        <w:gridCol w:w="774"/>
        <w:gridCol w:w="600"/>
        <w:gridCol w:w="346"/>
        <w:gridCol w:w="924"/>
        <w:gridCol w:w="446"/>
        <w:gridCol w:w="882"/>
        <w:gridCol w:w="115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$0.0015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32,736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566,013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$0.0015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45,815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566,013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45,815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04/19/2032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Share, par value $0.0015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45,815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61,086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491,029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06/23/2030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Share, par value $0.0015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61,086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To be paid per Class A Ordinary Share received.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of the 45,815 Restricted Stock Units ("RSUs"), granted under the Issuer's 2022 Share Incentive Plan, represents the contingent right to receive one Class A Ordinary Share. Hoi Chun Lo's vested RSUs are not automatically settled upon vesting. Settlement and delivery of Class A Ordinary Shares in respect of vested RSUs occurs at Hoi Chun Lo's election, in accordance with the Issuer's insider trading policy.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of the 61,086 RSUs, granted under the Issuer's 2022 Share Incentive Plan, represents the contingent right to receive one Class A Ordinary Share. The RSUs vest in accordance with the following schedule, subject to continued service: On the 19th day of each month until and including March 19, 2027: 7,635.75 (total of 53,450 Class A Ordinary Shares); April 19, 2027: 7,636 (7,636 Class A Ordinary Shares). Hoi Chun Lo's vested RSUs are not automatically settled upon vesting. Settlement and delivery of Class A Ordinary Shares in respect of vested RSUs occurs at Hoi Chun Lo's election, in accordance with the Issuer's insider trading policy.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of the 491,029 RSUs, granted under the Issuer's 2022 Share Incentive Plan, originally represented the contingent right to receive one Class A Ordinary Share. Following the Issuer's 1-for-15 reverse stock split effected on November 14, 2023, the 491,029 RSUs now represent the contingent right to receive an aggregate of 32,736 Class A Ordinary Shares. The RSUs vested in accordance with the following schedule, subject to continued service: January 23, 2026: 80,914 (5,394 Shares); February 23, 2026: 80,914 (5,394 Shares); March 23, 2026: 80,915 (5,395 Shares); April 23, 2026: 80,914 (5,394 Shares); May 23, 2026: 80,914 (5,394 Shares); June 23, 2026: 86,458 (5,765 Shares). Hoi Chun Lo's vested RSUs are not automatically settled upon vesting. Settlement and delivery of Class A Ordinary Shares in respect of vested RSUs occurs at Hoi Chun Lo's election, in accordance with the Issuer's insider trading policy.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Hoi Chun Lo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963" TargetMode="External"/><Relationship Id="rId5" Type="http://schemas.openxmlformats.org/officeDocument/2006/relationships/hyperlink" Target="http://www.sec.gov/cgi-bin/browse-edgar?action=getcompany&amp;CIK=00018764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964</Words>
  <Characters>5154</Characters>
  <CharactersWithSpaces>6015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